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6F53" w14:textId="77777777" w:rsidR="004D78BC" w:rsidRPr="004D78BC" w:rsidRDefault="004D78BC">
      <w:bookmarkStart w:id="0" w:name="_Hlk76377949"/>
      <w:r>
        <w:rPr>
          <w:noProof/>
        </w:rPr>
        <w:drawing>
          <wp:inline distT="0" distB="0" distL="0" distR="0" wp14:anchorId="13ABB4F0" wp14:editId="3D4913C2">
            <wp:extent cx="1676400" cy="933450"/>
            <wp:effectExtent l="0" t="0" r="0" b="0"/>
            <wp:docPr id="1" name="Picture 1" descr="signature_540321672"/>
            <wp:cNvGraphicFramePr/>
            <a:graphic xmlns:a="http://schemas.openxmlformats.org/drawingml/2006/main">
              <a:graphicData uri="http://schemas.openxmlformats.org/drawingml/2006/picture">
                <pic:pic xmlns:pic="http://schemas.openxmlformats.org/drawingml/2006/picture">
                  <pic:nvPicPr>
                    <pic:cNvPr id="1" name="Picture 1" descr="signature_540321672"/>
                    <pic:cNvPicPr/>
                  </pic:nvPicPr>
                  <pic:blipFill rotWithShape="1">
                    <a:blip r:embed="rId8">
                      <a:extLst>
                        <a:ext uri="{28A0092B-C50C-407E-A947-70E740481C1C}">
                          <a14:useLocalDpi xmlns:a14="http://schemas.microsoft.com/office/drawing/2010/main" val="0"/>
                        </a:ext>
                      </a:extLst>
                    </a:blip>
                    <a:srcRect l="47534" t="15652" r="1578" b="20435"/>
                    <a:stretch/>
                  </pic:blipFill>
                  <pic:spPr bwMode="auto">
                    <a:xfrm>
                      <a:off x="0" y="0"/>
                      <a:ext cx="167640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2463688B" w14:textId="77777777" w:rsidR="00421B70" w:rsidRDefault="00421B70" w:rsidP="00421B70">
      <w:pPr>
        <w:pStyle w:val="ListParagraph"/>
        <w:spacing w:after="0" w:line="240" w:lineRule="auto"/>
        <w:ind w:left="360"/>
        <w:rPr>
          <w:sz w:val="24"/>
          <w:u w:val="single"/>
        </w:rPr>
      </w:pPr>
    </w:p>
    <w:p w14:paraId="14AE687A" w14:textId="77777777" w:rsidR="00F10243" w:rsidRDefault="00F10243" w:rsidP="00421B70">
      <w:pPr>
        <w:pStyle w:val="ListParagraph"/>
        <w:spacing w:after="0" w:line="240" w:lineRule="auto"/>
        <w:ind w:left="360"/>
        <w:rPr>
          <w:sz w:val="24"/>
          <w:u w:val="single"/>
        </w:rPr>
      </w:pPr>
    </w:p>
    <w:p w14:paraId="01EAD658" w14:textId="77777777" w:rsidR="00F10243" w:rsidRPr="00F10243" w:rsidRDefault="00F10243" w:rsidP="00F10243">
      <w:pPr>
        <w:rPr>
          <w:rFonts w:asciiTheme="majorHAnsi" w:hAnsiTheme="majorHAnsi" w:cstheme="majorHAnsi"/>
          <w:sz w:val="52"/>
          <w:szCs w:val="52"/>
        </w:rPr>
      </w:pPr>
      <w:r w:rsidRPr="00F10243">
        <w:rPr>
          <w:rFonts w:asciiTheme="majorHAnsi" w:hAnsiTheme="majorHAnsi" w:cstheme="majorHAnsi"/>
          <w:sz w:val="52"/>
          <w:szCs w:val="52"/>
        </w:rPr>
        <w:t>UNIVERSITY OF HULL</w:t>
      </w:r>
    </w:p>
    <w:p w14:paraId="292DAAC6" w14:textId="77777777" w:rsidR="00F10243" w:rsidRPr="00F10243" w:rsidRDefault="00F10243" w:rsidP="00F10243">
      <w:pPr>
        <w:rPr>
          <w:rFonts w:asciiTheme="majorHAnsi" w:hAnsiTheme="majorHAnsi" w:cstheme="majorHAnsi"/>
          <w:sz w:val="52"/>
          <w:szCs w:val="52"/>
        </w:rPr>
      </w:pPr>
    </w:p>
    <w:p w14:paraId="57FD43FC" w14:textId="77777777" w:rsidR="006723FF" w:rsidRDefault="006723FF" w:rsidP="00F10243">
      <w:pPr>
        <w:rPr>
          <w:rFonts w:asciiTheme="majorHAnsi" w:hAnsiTheme="majorHAnsi" w:cstheme="majorHAnsi"/>
          <w:b/>
          <w:bCs/>
          <w:sz w:val="52"/>
          <w:szCs w:val="52"/>
        </w:rPr>
      </w:pPr>
      <w:r>
        <w:rPr>
          <w:rFonts w:asciiTheme="majorHAnsi" w:hAnsiTheme="majorHAnsi" w:cstheme="majorHAnsi"/>
          <w:b/>
          <w:bCs/>
          <w:sz w:val="52"/>
          <w:szCs w:val="52"/>
        </w:rPr>
        <w:t xml:space="preserve">Graduate </w:t>
      </w:r>
      <w:r w:rsidR="001A2087">
        <w:rPr>
          <w:rFonts w:asciiTheme="majorHAnsi" w:hAnsiTheme="majorHAnsi" w:cstheme="majorHAnsi"/>
          <w:b/>
          <w:bCs/>
          <w:sz w:val="52"/>
          <w:szCs w:val="52"/>
        </w:rPr>
        <w:t>Employability</w:t>
      </w:r>
      <w:r>
        <w:rPr>
          <w:rFonts w:asciiTheme="majorHAnsi" w:hAnsiTheme="majorHAnsi" w:cstheme="majorHAnsi"/>
          <w:b/>
          <w:bCs/>
          <w:sz w:val="52"/>
          <w:szCs w:val="52"/>
        </w:rPr>
        <w:t xml:space="preserve"> and </w:t>
      </w:r>
      <w:r w:rsidR="001A2087">
        <w:rPr>
          <w:rFonts w:asciiTheme="majorHAnsi" w:hAnsiTheme="majorHAnsi" w:cstheme="majorHAnsi"/>
          <w:b/>
          <w:bCs/>
          <w:sz w:val="52"/>
          <w:szCs w:val="52"/>
        </w:rPr>
        <w:t>Success</w:t>
      </w:r>
      <w:r>
        <w:rPr>
          <w:rFonts w:asciiTheme="majorHAnsi" w:hAnsiTheme="majorHAnsi" w:cstheme="majorHAnsi"/>
          <w:b/>
          <w:bCs/>
          <w:sz w:val="52"/>
          <w:szCs w:val="52"/>
        </w:rPr>
        <w:t xml:space="preserve"> Strategy</w:t>
      </w:r>
    </w:p>
    <w:p w14:paraId="2A260FC6" w14:textId="77777777" w:rsidR="00F10243" w:rsidRPr="00F10243" w:rsidRDefault="00F10243" w:rsidP="00F10243">
      <w:pPr>
        <w:rPr>
          <w:rFonts w:asciiTheme="majorHAnsi" w:hAnsiTheme="majorHAnsi" w:cstheme="majorHAnsi"/>
          <w:b/>
          <w:bCs/>
          <w:sz w:val="52"/>
          <w:szCs w:val="52"/>
        </w:rPr>
      </w:pPr>
    </w:p>
    <w:p w14:paraId="1137EC69" w14:textId="77777777" w:rsidR="00F10243" w:rsidRPr="00F10243" w:rsidRDefault="00F10243" w:rsidP="00F10243">
      <w:pPr>
        <w:rPr>
          <w:rFonts w:asciiTheme="majorHAnsi" w:hAnsiTheme="majorHAnsi" w:cstheme="majorHAnsi"/>
          <w:sz w:val="52"/>
          <w:szCs w:val="52"/>
        </w:rPr>
      </w:pPr>
    </w:p>
    <w:p w14:paraId="29752494" w14:textId="77777777" w:rsidR="00F10243" w:rsidRPr="00F10243" w:rsidRDefault="00F10243" w:rsidP="00F10243">
      <w:pPr>
        <w:rPr>
          <w:rFonts w:asciiTheme="majorHAnsi" w:hAnsiTheme="majorHAnsi" w:cstheme="majorHAnsi"/>
          <w:sz w:val="52"/>
          <w:szCs w:val="52"/>
        </w:rPr>
      </w:pPr>
      <w:r w:rsidRPr="00F10243">
        <w:rPr>
          <w:rFonts w:asciiTheme="majorHAnsi" w:hAnsiTheme="majorHAnsi" w:cstheme="majorHAnsi"/>
          <w:sz w:val="52"/>
          <w:szCs w:val="52"/>
        </w:rPr>
        <w:t>2021-2026</w:t>
      </w:r>
    </w:p>
    <w:p w14:paraId="0E091098" w14:textId="77777777" w:rsidR="00F10243" w:rsidRDefault="00F10243" w:rsidP="00421B70">
      <w:pPr>
        <w:pStyle w:val="ListParagraph"/>
        <w:spacing w:after="0" w:line="240" w:lineRule="auto"/>
        <w:ind w:left="360"/>
        <w:rPr>
          <w:sz w:val="24"/>
          <w:u w:val="single"/>
        </w:rPr>
      </w:pPr>
    </w:p>
    <w:p w14:paraId="0CCE4DFF" w14:textId="77777777" w:rsidR="00421B70" w:rsidRDefault="00421B70" w:rsidP="00421B70">
      <w:pPr>
        <w:pStyle w:val="ListParagraph"/>
        <w:spacing w:after="0" w:line="240" w:lineRule="auto"/>
        <w:ind w:left="360"/>
        <w:rPr>
          <w:sz w:val="24"/>
          <w:u w:val="single"/>
        </w:rPr>
      </w:pPr>
    </w:p>
    <w:p w14:paraId="6192DAA5" w14:textId="77777777" w:rsidR="00421B70" w:rsidRDefault="00421B70" w:rsidP="00421B70">
      <w:pPr>
        <w:pStyle w:val="ListParagraph"/>
        <w:spacing w:after="0" w:line="240" w:lineRule="auto"/>
        <w:ind w:left="360"/>
        <w:rPr>
          <w:sz w:val="24"/>
          <w:u w:val="single"/>
        </w:rPr>
      </w:pPr>
    </w:p>
    <w:p w14:paraId="59DACFD2" w14:textId="77777777" w:rsidR="00421B70" w:rsidRDefault="00421B70" w:rsidP="00421B70">
      <w:pPr>
        <w:pStyle w:val="ListParagraph"/>
        <w:spacing w:after="0" w:line="240" w:lineRule="auto"/>
        <w:ind w:left="360"/>
        <w:rPr>
          <w:sz w:val="24"/>
          <w:u w:val="single"/>
        </w:rPr>
      </w:pPr>
    </w:p>
    <w:p w14:paraId="3A638A00" w14:textId="77777777" w:rsidR="00421B70" w:rsidRDefault="00421B70" w:rsidP="00421B70">
      <w:pPr>
        <w:pStyle w:val="ListParagraph"/>
        <w:spacing w:after="0" w:line="240" w:lineRule="auto"/>
        <w:ind w:left="360"/>
        <w:rPr>
          <w:sz w:val="24"/>
          <w:u w:val="single"/>
        </w:rPr>
      </w:pPr>
    </w:p>
    <w:p w14:paraId="17B1EC42" w14:textId="77777777" w:rsidR="00421B70" w:rsidRDefault="00421B70" w:rsidP="00421B70">
      <w:pPr>
        <w:pStyle w:val="ListParagraph"/>
        <w:spacing w:after="0" w:line="240" w:lineRule="auto"/>
        <w:ind w:left="360"/>
        <w:rPr>
          <w:sz w:val="24"/>
          <w:u w:val="single"/>
        </w:rPr>
      </w:pPr>
    </w:p>
    <w:p w14:paraId="1FC153AE" w14:textId="77777777" w:rsidR="00421B70" w:rsidRDefault="00421B70" w:rsidP="00421B70">
      <w:pPr>
        <w:pStyle w:val="ListParagraph"/>
        <w:spacing w:after="0" w:line="240" w:lineRule="auto"/>
        <w:ind w:left="360"/>
        <w:rPr>
          <w:sz w:val="24"/>
          <w:u w:val="single"/>
        </w:rPr>
      </w:pPr>
    </w:p>
    <w:p w14:paraId="56B3FA6C" w14:textId="77777777" w:rsidR="00421B70" w:rsidRDefault="00421B70" w:rsidP="00421B70">
      <w:pPr>
        <w:pStyle w:val="ListParagraph"/>
        <w:spacing w:after="0" w:line="240" w:lineRule="auto"/>
        <w:ind w:left="360"/>
        <w:rPr>
          <w:sz w:val="24"/>
          <w:u w:val="single"/>
        </w:rPr>
      </w:pPr>
    </w:p>
    <w:p w14:paraId="519AF4A0" w14:textId="77777777" w:rsidR="00421B70" w:rsidRDefault="00421B70" w:rsidP="00421B70">
      <w:pPr>
        <w:pStyle w:val="ListParagraph"/>
        <w:spacing w:after="0" w:line="240" w:lineRule="auto"/>
        <w:ind w:left="360"/>
        <w:rPr>
          <w:sz w:val="24"/>
          <w:u w:val="single"/>
        </w:rPr>
      </w:pPr>
    </w:p>
    <w:p w14:paraId="40A76D79" w14:textId="77777777" w:rsidR="00421B70" w:rsidRDefault="00421B70" w:rsidP="00421B70">
      <w:pPr>
        <w:pStyle w:val="ListParagraph"/>
        <w:spacing w:after="0" w:line="240" w:lineRule="auto"/>
        <w:ind w:left="360"/>
        <w:rPr>
          <w:sz w:val="24"/>
          <w:u w:val="single"/>
        </w:rPr>
      </w:pPr>
    </w:p>
    <w:p w14:paraId="721FA281" w14:textId="77777777" w:rsidR="00421B70" w:rsidRDefault="00421B70" w:rsidP="00421B70">
      <w:pPr>
        <w:pStyle w:val="ListParagraph"/>
        <w:spacing w:after="0" w:line="240" w:lineRule="auto"/>
        <w:ind w:left="360"/>
        <w:rPr>
          <w:sz w:val="24"/>
          <w:u w:val="single"/>
        </w:rPr>
      </w:pPr>
    </w:p>
    <w:p w14:paraId="42AA301D" w14:textId="77777777" w:rsidR="00421B70" w:rsidRDefault="00421B70" w:rsidP="00421B70">
      <w:pPr>
        <w:pStyle w:val="ListParagraph"/>
        <w:spacing w:after="0" w:line="240" w:lineRule="auto"/>
        <w:ind w:left="360"/>
        <w:rPr>
          <w:sz w:val="24"/>
          <w:u w:val="single"/>
        </w:rPr>
      </w:pPr>
    </w:p>
    <w:p w14:paraId="1604AF1D" w14:textId="77777777" w:rsidR="00421B70" w:rsidRDefault="00421B70" w:rsidP="00421B70">
      <w:pPr>
        <w:pStyle w:val="ListParagraph"/>
        <w:spacing w:after="0" w:line="240" w:lineRule="auto"/>
        <w:ind w:left="360"/>
        <w:rPr>
          <w:sz w:val="24"/>
          <w:u w:val="single"/>
        </w:rPr>
      </w:pPr>
    </w:p>
    <w:p w14:paraId="4CBEB890" w14:textId="77777777" w:rsidR="00421B70" w:rsidRDefault="00421B70" w:rsidP="00421B70">
      <w:pPr>
        <w:pStyle w:val="ListParagraph"/>
        <w:spacing w:after="0" w:line="240" w:lineRule="auto"/>
        <w:ind w:left="360"/>
        <w:rPr>
          <w:sz w:val="24"/>
          <w:u w:val="single"/>
        </w:rPr>
      </w:pPr>
    </w:p>
    <w:p w14:paraId="4BBB3BA9" w14:textId="77777777" w:rsidR="00421B70" w:rsidRDefault="00421B70" w:rsidP="00421B70">
      <w:pPr>
        <w:pStyle w:val="ListParagraph"/>
        <w:spacing w:after="0" w:line="240" w:lineRule="auto"/>
        <w:ind w:left="360"/>
        <w:rPr>
          <w:sz w:val="24"/>
          <w:u w:val="single"/>
        </w:rPr>
      </w:pPr>
    </w:p>
    <w:p w14:paraId="68ECA9F1" w14:textId="77777777" w:rsidR="00421B70" w:rsidRDefault="00421B70" w:rsidP="00421B70">
      <w:pPr>
        <w:pStyle w:val="ListParagraph"/>
        <w:spacing w:after="0" w:line="240" w:lineRule="auto"/>
        <w:ind w:left="360"/>
        <w:rPr>
          <w:sz w:val="24"/>
          <w:u w:val="single"/>
        </w:rPr>
      </w:pPr>
    </w:p>
    <w:p w14:paraId="5A4083CD" w14:textId="77777777" w:rsidR="00421B70" w:rsidRDefault="00421B70" w:rsidP="00421B70">
      <w:pPr>
        <w:pStyle w:val="ListParagraph"/>
        <w:spacing w:after="0" w:line="240" w:lineRule="auto"/>
        <w:ind w:left="360"/>
        <w:rPr>
          <w:sz w:val="24"/>
          <w:u w:val="single"/>
        </w:rPr>
      </w:pPr>
    </w:p>
    <w:p w14:paraId="780D35F9" w14:textId="77777777" w:rsidR="00421B70" w:rsidRDefault="00421B70" w:rsidP="00421B70">
      <w:pPr>
        <w:pStyle w:val="ListParagraph"/>
        <w:spacing w:after="0" w:line="240" w:lineRule="auto"/>
        <w:ind w:left="360"/>
        <w:rPr>
          <w:sz w:val="24"/>
          <w:u w:val="single"/>
        </w:rPr>
      </w:pPr>
    </w:p>
    <w:p w14:paraId="2DDC7DE1" w14:textId="77777777" w:rsidR="00421B70" w:rsidRDefault="00421B70" w:rsidP="00421B70">
      <w:pPr>
        <w:pStyle w:val="ListParagraph"/>
        <w:spacing w:after="0" w:line="240" w:lineRule="auto"/>
        <w:ind w:left="360"/>
        <w:rPr>
          <w:sz w:val="24"/>
          <w:u w:val="single"/>
        </w:rPr>
      </w:pPr>
    </w:p>
    <w:p w14:paraId="7ED5F448" w14:textId="77777777" w:rsidR="001A2087" w:rsidRDefault="001A2087" w:rsidP="00FA1856">
      <w:pPr>
        <w:spacing w:after="0" w:line="240" w:lineRule="auto"/>
        <w:rPr>
          <w:sz w:val="24"/>
          <w:u w:val="single"/>
        </w:rPr>
      </w:pPr>
    </w:p>
    <w:p w14:paraId="71095C4C" w14:textId="77777777" w:rsidR="006723FF" w:rsidRPr="001A2087" w:rsidRDefault="006723FF" w:rsidP="001A2087">
      <w:pPr>
        <w:spacing w:after="0" w:line="240" w:lineRule="auto"/>
        <w:jc w:val="center"/>
        <w:rPr>
          <w:rFonts w:asciiTheme="majorHAnsi" w:hAnsiTheme="majorHAnsi"/>
          <w:b/>
          <w:u w:val="single"/>
        </w:rPr>
      </w:pPr>
      <w:r w:rsidRPr="001A2087">
        <w:rPr>
          <w:rFonts w:asciiTheme="majorHAnsi" w:hAnsiTheme="majorHAnsi"/>
          <w:b/>
          <w:u w:val="single"/>
        </w:rPr>
        <w:lastRenderedPageBreak/>
        <w:t>The vision</w:t>
      </w:r>
    </w:p>
    <w:p w14:paraId="0F26D06A" w14:textId="77777777" w:rsidR="006723FF" w:rsidRDefault="006723FF" w:rsidP="00FA1856">
      <w:pPr>
        <w:spacing w:after="0" w:line="240" w:lineRule="auto"/>
        <w:rPr>
          <w:rFonts w:asciiTheme="majorHAnsi" w:hAnsiTheme="majorHAnsi"/>
          <w:u w:val="single"/>
        </w:rPr>
      </w:pPr>
    </w:p>
    <w:p w14:paraId="5F162F46" w14:textId="77777777" w:rsidR="00B701F0" w:rsidRPr="00B701F0" w:rsidRDefault="006723FF" w:rsidP="006C1E2E">
      <w:pPr>
        <w:spacing w:after="0" w:line="240" w:lineRule="auto"/>
        <w:jc w:val="center"/>
        <w:rPr>
          <w:rFonts w:asciiTheme="majorHAnsi" w:hAnsiTheme="majorHAnsi"/>
        </w:rPr>
      </w:pPr>
      <w:r w:rsidRPr="00B701F0">
        <w:rPr>
          <w:rFonts w:asciiTheme="majorHAnsi" w:hAnsiTheme="majorHAnsi"/>
        </w:rPr>
        <w:t>Hull’s vision is to continue to advance its sector place and reputation for outstanding graduate employability</w:t>
      </w:r>
      <w:r w:rsidR="001A2087">
        <w:rPr>
          <w:rFonts w:asciiTheme="majorHAnsi" w:hAnsiTheme="majorHAnsi"/>
        </w:rPr>
        <w:t>;</w:t>
      </w:r>
      <w:r w:rsidRPr="00B701F0">
        <w:rPr>
          <w:rFonts w:asciiTheme="majorHAnsi" w:hAnsiTheme="majorHAnsi"/>
        </w:rPr>
        <w:t xml:space="preserve"> </w:t>
      </w:r>
      <w:r w:rsidR="00FF2426" w:rsidRPr="00B701F0">
        <w:rPr>
          <w:rFonts w:asciiTheme="majorHAnsi" w:hAnsiTheme="majorHAnsi"/>
        </w:rPr>
        <w:t xml:space="preserve">regionally, </w:t>
      </w:r>
      <w:r w:rsidRPr="00B701F0">
        <w:rPr>
          <w:rFonts w:asciiTheme="majorHAnsi" w:hAnsiTheme="majorHAnsi"/>
        </w:rPr>
        <w:t>nationally and internationally</w:t>
      </w:r>
      <w:r w:rsidR="001A2087">
        <w:rPr>
          <w:rFonts w:asciiTheme="majorHAnsi" w:hAnsiTheme="majorHAnsi"/>
        </w:rPr>
        <w:t>. B</w:t>
      </w:r>
      <w:r w:rsidRPr="00B701F0">
        <w:rPr>
          <w:rFonts w:asciiTheme="majorHAnsi" w:hAnsiTheme="majorHAnsi"/>
        </w:rPr>
        <w:t>uilding upon our excellence in education, research, innovation and student support.</w:t>
      </w:r>
    </w:p>
    <w:p w14:paraId="7120762E" w14:textId="77777777" w:rsidR="00B701F0" w:rsidRDefault="00B701F0" w:rsidP="00B701F0">
      <w:pPr>
        <w:pStyle w:val="ListParagraph"/>
        <w:spacing w:after="0" w:line="240" w:lineRule="auto"/>
        <w:ind w:left="360"/>
        <w:rPr>
          <w:rFonts w:asciiTheme="majorHAnsi" w:hAnsiTheme="majorHAnsi"/>
        </w:rPr>
      </w:pPr>
    </w:p>
    <w:p w14:paraId="0562B62E" w14:textId="77777777" w:rsidR="00B701F0" w:rsidRDefault="006723FF" w:rsidP="006C1E2E">
      <w:pPr>
        <w:spacing w:after="0" w:line="240" w:lineRule="auto"/>
        <w:jc w:val="center"/>
        <w:rPr>
          <w:rFonts w:asciiTheme="majorHAnsi" w:hAnsiTheme="majorHAnsi"/>
        </w:rPr>
      </w:pPr>
      <w:r w:rsidRPr="00B701F0">
        <w:rPr>
          <w:rFonts w:asciiTheme="majorHAnsi" w:hAnsiTheme="majorHAnsi"/>
        </w:rPr>
        <w:t>Motivated by society’s challenges and inspired by the power of our global community, we’re shaping a fairer, brighter, carbon neutral future.  We place great importance upon supporting students with the acquisition of exceptional</w:t>
      </w:r>
      <w:r w:rsidR="00CC45F3">
        <w:rPr>
          <w:rFonts w:asciiTheme="majorHAnsi" w:hAnsiTheme="majorHAnsi"/>
        </w:rPr>
        <w:t xml:space="preserve"> graduate competencies </w:t>
      </w:r>
      <w:r w:rsidR="001A2087">
        <w:rPr>
          <w:rFonts w:asciiTheme="majorHAnsi" w:hAnsiTheme="majorHAnsi"/>
        </w:rPr>
        <w:t xml:space="preserve">and attributes </w:t>
      </w:r>
      <w:r w:rsidR="00CC45F3">
        <w:rPr>
          <w:rFonts w:asciiTheme="majorHAnsi" w:hAnsiTheme="majorHAnsi"/>
        </w:rPr>
        <w:t>in readiness for their future</w:t>
      </w:r>
      <w:r w:rsidRPr="00B701F0">
        <w:rPr>
          <w:rFonts w:asciiTheme="majorHAnsi" w:hAnsiTheme="majorHAnsi"/>
          <w:color w:val="FF0000"/>
        </w:rPr>
        <w:t>.</w:t>
      </w:r>
      <w:r w:rsidRPr="00B701F0">
        <w:rPr>
          <w:rFonts w:asciiTheme="majorHAnsi" w:hAnsiTheme="majorHAnsi"/>
        </w:rPr>
        <w:t xml:space="preserve"> </w:t>
      </w:r>
      <w:r w:rsidR="00CC45F3">
        <w:rPr>
          <w:rFonts w:asciiTheme="majorHAnsi" w:hAnsiTheme="majorHAnsi"/>
        </w:rPr>
        <w:t>E</w:t>
      </w:r>
      <w:r w:rsidRPr="00B701F0">
        <w:rPr>
          <w:rFonts w:asciiTheme="majorHAnsi" w:hAnsiTheme="majorHAnsi"/>
        </w:rPr>
        <w:t>mpower</w:t>
      </w:r>
      <w:r w:rsidR="00CC45F3">
        <w:rPr>
          <w:rFonts w:asciiTheme="majorHAnsi" w:hAnsiTheme="majorHAnsi"/>
        </w:rPr>
        <w:t>ing</w:t>
      </w:r>
      <w:r w:rsidRPr="00B701F0">
        <w:rPr>
          <w:rFonts w:asciiTheme="majorHAnsi" w:hAnsiTheme="majorHAnsi"/>
        </w:rPr>
        <w:t xml:space="preserve"> our graduates to determine and achieve their own personal and professional success</w:t>
      </w:r>
      <w:r w:rsidR="001A2087">
        <w:rPr>
          <w:rFonts w:asciiTheme="majorHAnsi" w:hAnsiTheme="majorHAnsi"/>
        </w:rPr>
        <w:t>es</w:t>
      </w:r>
      <w:r w:rsidRPr="00B701F0">
        <w:rPr>
          <w:rFonts w:asciiTheme="majorHAnsi" w:hAnsiTheme="majorHAnsi"/>
        </w:rPr>
        <w:t>.</w:t>
      </w:r>
    </w:p>
    <w:p w14:paraId="36F3B2BE" w14:textId="77777777" w:rsidR="00B701F0" w:rsidRPr="006C1E2E" w:rsidRDefault="00B701F0" w:rsidP="00B701F0">
      <w:pPr>
        <w:spacing w:after="0" w:line="240" w:lineRule="auto"/>
        <w:rPr>
          <w:rFonts w:asciiTheme="majorHAnsi" w:hAnsiTheme="majorHAnsi"/>
        </w:rPr>
      </w:pPr>
    </w:p>
    <w:p w14:paraId="3E1CE70F" w14:textId="77777777" w:rsidR="00FF2426" w:rsidRPr="006C1E2E" w:rsidRDefault="00FF2426" w:rsidP="006C1E2E">
      <w:pPr>
        <w:spacing w:after="0" w:line="240" w:lineRule="auto"/>
        <w:jc w:val="center"/>
        <w:rPr>
          <w:rFonts w:asciiTheme="majorHAnsi" w:hAnsiTheme="majorHAnsi"/>
        </w:rPr>
      </w:pPr>
      <w:r w:rsidRPr="006C1E2E">
        <w:rPr>
          <w:rFonts w:asciiTheme="majorHAnsi" w:hAnsiTheme="majorHAnsi"/>
        </w:rPr>
        <w:t xml:space="preserve">To continue to provide our </w:t>
      </w:r>
      <w:r w:rsidR="00CC45F3">
        <w:rPr>
          <w:rFonts w:asciiTheme="majorHAnsi" w:hAnsiTheme="majorHAnsi"/>
        </w:rPr>
        <w:t xml:space="preserve">local </w:t>
      </w:r>
      <w:r w:rsidRPr="006C1E2E">
        <w:rPr>
          <w:rFonts w:asciiTheme="majorHAnsi" w:hAnsiTheme="majorHAnsi"/>
        </w:rPr>
        <w:t>region with a pipeline of graduate talent, and in doing so ensure our graduates are equipped to continue to help shape and contribute to local economies.</w:t>
      </w:r>
    </w:p>
    <w:p w14:paraId="75D90196" w14:textId="77777777" w:rsidR="00FF2426" w:rsidRPr="00FA1856" w:rsidRDefault="00FF2426" w:rsidP="006723FF">
      <w:pPr>
        <w:spacing w:after="0" w:line="240" w:lineRule="auto"/>
        <w:rPr>
          <w:rFonts w:asciiTheme="majorHAnsi" w:hAnsiTheme="majorHAnsi"/>
        </w:rPr>
      </w:pPr>
    </w:p>
    <w:p w14:paraId="211EE136" w14:textId="77777777" w:rsidR="006723FF" w:rsidRPr="001A2087" w:rsidRDefault="006723FF" w:rsidP="001A2087">
      <w:pPr>
        <w:spacing w:after="0" w:line="240" w:lineRule="auto"/>
        <w:jc w:val="center"/>
        <w:rPr>
          <w:rFonts w:asciiTheme="majorHAnsi" w:hAnsiTheme="majorHAnsi"/>
          <w:b/>
          <w:i/>
          <w:color w:val="FF0000"/>
          <w:u w:val="single"/>
        </w:rPr>
      </w:pPr>
      <w:r w:rsidRPr="001A2087">
        <w:rPr>
          <w:rFonts w:asciiTheme="majorHAnsi" w:hAnsiTheme="majorHAnsi"/>
          <w:b/>
          <w:u w:val="single"/>
        </w:rPr>
        <w:t>The Goal</w:t>
      </w:r>
    </w:p>
    <w:p w14:paraId="38B2A910" w14:textId="77777777" w:rsidR="00285C23" w:rsidRDefault="00285C23" w:rsidP="00FA1856">
      <w:pPr>
        <w:spacing w:after="0" w:line="240" w:lineRule="auto"/>
        <w:rPr>
          <w:rFonts w:asciiTheme="majorHAnsi" w:hAnsiTheme="majorHAnsi"/>
        </w:rPr>
      </w:pPr>
    </w:p>
    <w:p w14:paraId="390C997D" w14:textId="77777777" w:rsidR="00B87A24" w:rsidRPr="00BF7D95" w:rsidRDefault="00B87A24" w:rsidP="00FA1856">
      <w:pPr>
        <w:spacing w:after="0" w:line="240" w:lineRule="auto"/>
        <w:rPr>
          <w:rFonts w:asciiTheme="majorHAnsi" w:hAnsiTheme="majorHAnsi"/>
        </w:rPr>
      </w:pPr>
      <w:r w:rsidRPr="00422078">
        <w:rPr>
          <w:rFonts w:asciiTheme="majorHAnsi" w:hAnsiTheme="majorHAnsi"/>
        </w:rPr>
        <w:t>Hull graduates are already known as leaders, innovators and industry disruptors</w:t>
      </w:r>
      <w:r w:rsidR="001A2087">
        <w:rPr>
          <w:rFonts w:asciiTheme="majorHAnsi" w:hAnsiTheme="majorHAnsi"/>
        </w:rPr>
        <w:t>,</w:t>
      </w:r>
      <w:r w:rsidRPr="00422078">
        <w:rPr>
          <w:rFonts w:asciiTheme="majorHAnsi" w:hAnsiTheme="majorHAnsi"/>
        </w:rPr>
        <w:t xml:space="preserve"> who have made significant contributions across many sectors – regionally, nationally and internationally.  The University remains committed to ensuring this legacy endures and that it continues to meet the </w:t>
      </w:r>
      <w:r w:rsidRPr="00BF7D95">
        <w:rPr>
          <w:rFonts w:asciiTheme="majorHAnsi" w:hAnsiTheme="majorHAnsi"/>
        </w:rPr>
        <w:t xml:space="preserve">social, cultural and professional challenges of the fourth industrial </w:t>
      </w:r>
      <w:r w:rsidR="00020174" w:rsidRPr="00BF7D95">
        <w:rPr>
          <w:rFonts w:asciiTheme="majorHAnsi" w:hAnsiTheme="majorHAnsi"/>
        </w:rPr>
        <w:t>age</w:t>
      </w:r>
      <w:r w:rsidR="00B701F0" w:rsidRPr="00BF7D95">
        <w:rPr>
          <w:rFonts w:asciiTheme="majorHAnsi" w:hAnsiTheme="majorHAnsi"/>
        </w:rPr>
        <w:t xml:space="preserve"> and </w:t>
      </w:r>
      <w:r w:rsidR="0030658E">
        <w:rPr>
          <w:rFonts w:asciiTheme="majorHAnsi" w:hAnsiTheme="majorHAnsi"/>
        </w:rPr>
        <w:t>evolving</w:t>
      </w:r>
      <w:r w:rsidR="00B701F0" w:rsidRPr="00BF7D95">
        <w:rPr>
          <w:rFonts w:asciiTheme="majorHAnsi" w:hAnsiTheme="majorHAnsi"/>
        </w:rPr>
        <w:t xml:space="preserve"> </w:t>
      </w:r>
      <w:r w:rsidR="00A1755E" w:rsidRPr="00BF7D95">
        <w:rPr>
          <w:rFonts w:asciiTheme="majorHAnsi" w:hAnsiTheme="majorHAnsi"/>
        </w:rPr>
        <w:t>sectors</w:t>
      </w:r>
      <w:r w:rsidR="0030658E">
        <w:rPr>
          <w:rFonts w:asciiTheme="majorHAnsi" w:hAnsiTheme="majorHAnsi"/>
        </w:rPr>
        <w:t xml:space="preserve">; including emerging ‘Society 5.0’ </w:t>
      </w:r>
      <w:r w:rsidR="001A2087">
        <w:rPr>
          <w:rFonts w:asciiTheme="majorHAnsi" w:hAnsiTheme="majorHAnsi"/>
        </w:rPr>
        <w:t>developments</w:t>
      </w:r>
      <w:r w:rsidR="00F358CE">
        <w:rPr>
          <w:rFonts w:asciiTheme="majorHAnsi" w:hAnsiTheme="majorHAnsi"/>
        </w:rPr>
        <w:t>.</w:t>
      </w:r>
      <w:r w:rsidR="00BF7D95" w:rsidRPr="00BF7D95">
        <w:rPr>
          <w:rFonts w:asciiTheme="majorHAnsi" w:hAnsiTheme="majorHAnsi"/>
        </w:rPr>
        <w:t xml:space="preserve"> </w:t>
      </w:r>
      <w:r w:rsidR="00AE1D6C" w:rsidRPr="00BF7D95">
        <w:rPr>
          <w:rFonts w:asciiTheme="majorHAnsi" w:hAnsiTheme="majorHAnsi"/>
        </w:rPr>
        <w:t xml:space="preserve">We </w:t>
      </w:r>
      <w:r w:rsidR="001A2087">
        <w:rPr>
          <w:rFonts w:asciiTheme="majorHAnsi" w:hAnsiTheme="majorHAnsi"/>
        </w:rPr>
        <w:t>are</w:t>
      </w:r>
      <w:r w:rsidR="00BF7D95" w:rsidRPr="00BF7D95">
        <w:rPr>
          <w:rFonts w:asciiTheme="majorHAnsi" w:hAnsiTheme="majorHAnsi"/>
        </w:rPr>
        <w:t xml:space="preserve"> unapologetic in our efforts and </w:t>
      </w:r>
      <w:r w:rsidR="00AE1D6C" w:rsidRPr="00BF7D95">
        <w:rPr>
          <w:rFonts w:asciiTheme="majorHAnsi" w:hAnsiTheme="majorHAnsi"/>
        </w:rPr>
        <w:t xml:space="preserve">continue to be ambitious and driven </w:t>
      </w:r>
      <w:r w:rsidR="00BF7D95" w:rsidRPr="00BF7D95">
        <w:rPr>
          <w:rFonts w:asciiTheme="majorHAnsi" w:hAnsiTheme="majorHAnsi"/>
        </w:rPr>
        <w:t>in order</w:t>
      </w:r>
      <w:r w:rsidR="00AE1D6C" w:rsidRPr="00BF7D95">
        <w:rPr>
          <w:rFonts w:asciiTheme="majorHAnsi" w:hAnsiTheme="majorHAnsi"/>
        </w:rPr>
        <w:t xml:space="preserve"> to maximise opportunities for our students and graduates</w:t>
      </w:r>
      <w:r w:rsidR="00BF7D95" w:rsidRPr="00BF7D95">
        <w:rPr>
          <w:rFonts w:asciiTheme="majorHAnsi" w:hAnsiTheme="majorHAnsi"/>
        </w:rPr>
        <w:t xml:space="preserve"> to define their own success and </w:t>
      </w:r>
      <w:r w:rsidR="00CC45F3">
        <w:rPr>
          <w:rFonts w:asciiTheme="majorHAnsi" w:hAnsiTheme="majorHAnsi"/>
        </w:rPr>
        <w:t xml:space="preserve">navigate and </w:t>
      </w:r>
      <w:r w:rsidR="00BF7D95" w:rsidRPr="00BF7D95">
        <w:rPr>
          <w:rFonts w:asciiTheme="majorHAnsi" w:hAnsiTheme="majorHAnsi"/>
        </w:rPr>
        <w:t xml:space="preserve">manage their own </w:t>
      </w:r>
      <w:r w:rsidR="00CC45F3">
        <w:rPr>
          <w:rFonts w:asciiTheme="majorHAnsi" w:hAnsiTheme="majorHAnsi"/>
        </w:rPr>
        <w:t xml:space="preserve">(lifelong) </w:t>
      </w:r>
      <w:r w:rsidR="00BF7D95" w:rsidRPr="00BF7D95">
        <w:rPr>
          <w:rFonts w:asciiTheme="majorHAnsi" w:hAnsiTheme="majorHAnsi"/>
        </w:rPr>
        <w:t>progression.</w:t>
      </w:r>
      <w:r w:rsidR="00BF7D95">
        <w:rPr>
          <w:rFonts w:asciiTheme="majorHAnsi" w:hAnsiTheme="majorHAnsi"/>
        </w:rPr>
        <w:t xml:space="preserve"> </w:t>
      </w:r>
    </w:p>
    <w:p w14:paraId="33691F9C" w14:textId="77777777" w:rsidR="00A1755E" w:rsidRPr="00BF7D95" w:rsidRDefault="00A1755E" w:rsidP="00FA1856">
      <w:pPr>
        <w:spacing w:after="0" w:line="240" w:lineRule="auto"/>
        <w:rPr>
          <w:rFonts w:asciiTheme="majorHAnsi" w:hAnsiTheme="majorHAnsi"/>
          <w:u w:val="single"/>
        </w:rPr>
      </w:pPr>
    </w:p>
    <w:p w14:paraId="62EE7D49" w14:textId="77777777" w:rsidR="00BF7D95" w:rsidRPr="00BF7D95" w:rsidRDefault="006723FF" w:rsidP="00FA1856">
      <w:pPr>
        <w:spacing w:after="0" w:line="240" w:lineRule="auto"/>
        <w:rPr>
          <w:rFonts w:asciiTheme="majorHAnsi" w:hAnsiTheme="majorHAnsi"/>
        </w:rPr>
      </w:pPr>
      <w:r w:rsidRPr="00BF7D95">
        <w:rPr>
          <w:rFonts w:asciiTheme="majorHAnsi" w:hAnsiTheme="majorHAnsi"/>
        </w:rPr>
        <w:t xml:space="preserve">This will be achieved by placing </w:t>
      </w:r>
      <w:r w:rsidR="00B87A24" w:rsidRPr="00BF7D95">
        <w:rPr>
          <w:rFonts w:asciiTheme="majorHAnsi" w:hAnsiTheme="majorHAnsi"/>
        </w:rPr>
        <w:t xml:space="preserve">our students at the heart of all of our delivery, with increased </w:t>
      </w:r>
      <w:r w:rsidRPr="00BF7D95">
        <w:rPr>
          <w:rFonts w:asciiTheme="majorHAnsi" w:hAnsiTheme="majorHAnsi"/>
        </w:rPr>
        <w:t xml:space="preserve">importance </w:t>
      </w:r>
      <w:r w:rsidR="00A1755E" w:rsidRPr="00BF7D95">
        <w:rPr>
          <w:rFonts w:asciiTheme="majorHAnsi" w:hAnsiTheme="majorHAnsi"/>
        </w:rPr>
        <w:t>placed upon</w:t>
      </w:r>
      <w:r w:rsidRPr="00BF7D95">
        <w:rPr>
          <w:rFonts w:asciiTheme="majorHAnsi" w:hAnsiTheme="majorHAnsi"/>
        </w:rPr>
        <w:t xml:space="preserve"> competencies</w:t>
      </w:r>
      <w:r w:rsidR="00BF7D95" w:rsidRPr="00BF7D95">
        <w:rPr>
          <w:rFonts w:asciiTheme="majorHAnsi" w:hAnsiTheme="majorHAnsi"/>
        </w:rPr>
        <w:t>, a</w:t>
      </w:r>
      <w:r w:rsidR="00FF2426" w:rsidRPr="00BF7D95">
        <w:rPr>
          <w:rFonts w:asciiTheme="majorHAnsi" w:hAnsiTheme="majorHAnsi"/>
        </w:rPr>
        <w:t>ttributes</w:t>
      </w:r>
      <w:r w:rsidR="00BF7D95" w:rsidRPr="00BF7D95">
        <w:rPr>
          <w:rFonts w:asciiTheme="majorHAnsi" w:hAnsiTheme="majorHAnsi"/>
        </w:rPr>
        <w:t xml:space="preserve"> and self-awareness</w:t>
      </w:r>
      <w:r w:rsidR="001A2087">
        <w:rPr>
          <w:rFonts w:asciiTheme="majorHAnsi" w:hAnsiTheme="majorHAnsi"/>
        </w:rPr>
        <w:t>;</w:t>
      </w:r>
      <w:r w:rsidR="00BF7D95" w:rsidRPr="00BF7D95">
        <w:rPr>
          <w:rFonts w:asciiTheme="majorHAnsi" w:hAnsiTheme="majorHAnsi"/>
        </w:rPr>
        <w:t xml:space="preserve"> which, underpins self-efficacy, self-confidence and therefore positively impacts upon readiness for progression</w:t>
      </w:r>
      <w:r w:rsidR="001A2087">
        <w:rPr>
          <w:rFonts w:asciiTheme="majorHAnsi" w:hAnsiTheme="majorHAnsi"/>
        </w:rPr>
        <w:t>. A</w:t>
      </w:r>
      <w:r w:rsidR="00BF7D95" w:rsidRPr="00BF7D95">
        <w:rPr>
          <w:rFonts w:asciiTheme="majorHAnsi" w:hAnsiTheme="majorHAnsi"/>
        </w:rPr>
        <w:t xml:space="preserve">llowing </w:t>
      </w:r>
      <w:r w:rsidR="00422078" w:rsidRPr="00BF7D95">
        <w:rPr>
          <w:rFonts w:asciiTheme="majorHAnsi" w:hAnsiTheme="majorHAnsi"/>
        </w:rPr>
        <w:t>them to define their own success</w:t>
      </w:r>
      <w:r w:rsidRPr="00BF7D95">
        <w:rPr>
          <w:rFonts w:asciiTheme="majorHAnsi" w:hAnsiTheme="majorHAnsi"/>
        </w:rPr>
        <w:t>.</w:t>
      </w:r>
      <w:r w:rsidR="00BF7D95" w:rsidRPr="00BF7D95">
        <w:rPr>
          <w:rFonts w:asciiTheme="majorHAnsi" w:hAnsiTheme="majorHAnsi"/>
        </w:rPr>
        <w:t xml:space="preserve"> </w:t>
      </w:r>
    </w:p>
    <w:p w14:paraId="72493CA6" w14:textId="77777777" w:rsidR="00BF7D95" w:rsidRDefault="00BF7D95" w:rsidP="00FA1856">
      <w:pPr>
        <w:spacing w:after="0" w:line="240" w:lineRule="auto"/>
        <w:rPr>
          <w:rFonts w:asciiTheme="majorHAnsi" w:hAnsiTheme="majorHAnsi"/>
        </w:rPr>
      </w:pPr>
    </w:p>
    <w:p w14:paraId="7EA8920E" w14:textId="77777777" w:rsidR="006723FF" w:rsidRDefault="00A1755E" w:rsidP="00FA1856">
      <w:pPr>
        <w:spacing w:after="0" w:line="240" w:lineRule="auto"/>
        <w:rPr>
          <w:rFonts w:asciiTheme="majorHAnsi" w:hAnsiTheme="majorHAnsi"/>
        </w:rPr>
      </w:pPr>
      <w:r>
        <w:rPr>
          <w:rFonts w:asciiTheme="majorHAnsi" w:hAnsiTheme="majorHAnsi"/>
        </w:rPr>
        <w:t xml:space="preserve">The </w:t>
      </w:r>
      <w:r w:rsidRPr="00422078">
        <w:rPr>
          <w:rFonts w:asciiTheme="majorHAnsi" w:hAnsiTheme="majorHAnsi"/>
        </w:rPr>
        <w:t>University will develop three strategic areas</w:t>
      </w:r>
      <w:r w:rsidR="00BF7D95">
        <w:rPr>
          <w:rFonts w:asciiTheme="majorHAnsi" w:hAnsiTheme="majorHAnsi"/>
        </w:rPr>
        <w:t>:</w:t>
      </w:r>
    </w:p>
    <w:p w14:paraId="23F816B4" w14:textId="77777777" w:rsidR="00BF7D95" w:rsidRPr="006723FF" w:rsidRDefault="00BF7D95" w:rsidP="00FA1856">
      <w:pPr>
        <w:spacing w:after="0" w:line="240" w:lineRule="auto"/>
        <w:rPr>
          <w:rFonts w:asciiTheme="majorHAnsi" w:hAnsiTheme="majorHAnsi"/>
          <w:u w:val="single"/>
        </w:rPr>
      </w:pPr>
    </w:p>
    <w:p w14:paraId="7F8BB55A" w14:textId="77777777" w:rsidR="006723FF" w:rsidRPr="001A2087" w:rsidRDefault="006723FF" w:rsidP="001A2087">
      <w:pPr>
        <w:pStyle w:val="ListParagraph"/>
        <w:numPr>
          <w:ilvl w:val="0"/>
          <w:numId w:val="27"/>
        </w:numPr>
        <w:spacing w:after="0" w:line="240" w:lineRule="auto"/>
        <w:rPr>
          <w:rFonts w:asciiTheme="majorHAnsi" w:hAnsiTheme="majorHAnsi"/>
          <w:b/>
        </w:rPr>
      </w:pPr>
      <w:r w:rsidRPr="001A2087">
        <w:rPr>
          <w:rFonts w:asciiTheme="majorHAnsi" w:hAnsiTheme="majorHAnsi"/>
          <w:b/>
          <w:i/>
        </w:rPr>
        <w:t xml:space="preserve">Employer and </w:t>
      </w:r>
      <w:r w:rsidR="001A2087" w:rsidRPr="001A2087">
        <w:rPr>
          <w:rFonts w:asciiTheme="majorHAnsi" w:hAnsiTheme="majorHAnsi"/>
          <w:b/>
          <w:i/>
        </w:rPr>
        <w:t>P</w:t>
      </w:r>
      <w:r w:rsidRPr="001A2087">
        <w:rPr>
          <w:rFonts w:asciiTheme="majorHAnsi" w:hAnsiTheme="majorHAnsi"/>
          <w:b/>
          <w:i/>
        </w:rPr>
        <w:t xml:space="preserve">artner </w:t>
      </w:r>
      <w:r w:rsidR="001A2087" w:rsidRPr="001A2087">
        <w:rPr>
          <w:rFonts w:asciiTheme="majorHAnsi" w:hAnsiTheme="majorHAnsi"/>
          <w:b/>
          <w:i/>
        </w:rPr>
        <w:t>C</w:t>
      </w:r>
      <w:r w:rsidRPr="001A2087">
        <w:rPr>
          <w:rFonts w:asciiTheme="majorHAnsi" w:hAnsiTheme="majorHAnsi"/>
          <w:b/>
          <w:i/>
        </w:rPr>
        <w:t>ollaborations</w:t>
      </w:r>
    </w:p>
    <w:p w14:paraId="2DB94637" w14:textId="77777777" w:rsidR="006723FF" w:rsidRPr="001A2087" w:rsidRDefault="006723FF" w:rsidP="001A2087">
      <w:pPr>
        <w:pStyle w:val="ListParagraph"/>
        <w:numPr>
          <w:ilvl w:val="0"/>
          <w:numId w:val="27"/>
        </w:numPr>
        <w:spacing w:after="0" w:line="240" w:lineRule="auto"/>
        <w:rPr>
          <w:rFonts w:asciiTheme="majorHAnsi" w:hAnsiTheme="majorHAnsi"/>
          <w:b/>
          <w:i/>
        </w:rPr>
      </w:pPr>
      <w:r w:rsidRPr="001A2087">
        <w:rPr>
          <w:rFonts w:asciiTheme="majorHAnsi" w:hAnsiTheme="majorHAnsi"/>
          <w:b/>
          <w:i/>
        </w:rPr>
        <w:t xml:space="preserve">On-programme </w:t>
      </w:r>
      <w:r w:rsidR="001A2087" w:rsidRPr="001A2087">
        <w:rPr>
          <w:rFonts w:asciiTheme="majorHAnsi" w:hAnsiTheme="majorHAnsi"/>
          <w:b/>
          <w:i/>
        </w:rPr>
        <w:t>D</w:t>
      </w:r>
      <w:r w:rsidRPr="001A2087">
        <w:rPr>
          <w:rFonts w:asciiTheme="majorHAnsi" w:hAnsiTheme="majorHAnsi"/>
          <w:b/>
          <w:i/>
        </w:rPr>
        <w:t>elivery</w:t>
      </w:r>
    </w:p>
    <w:p w14:paraId="37C78406" w14:textId="77777777" w:rsidR="006723FF" w:rsidRPr="001A2087" w:rsidRDefault="006723FF" w:rsidP="001A2087">
      <w:pPr>
        <w:pStyle w:val="ListParagraph"/>
        <w:numPr>
          <w:ilvl w:val="0"/>
          <w:numId w:val="27"/>
        </w:numPr>
        <w:spacing w:after="0" w:line="240" w:lineRule="auto"/>
        <w:rPr>
          <w:rFonts w:asciiTheme="majorHAnsi" w:hAnsiTheme="majorHAnsi"/>
          <w:b/>
          <w:i/>
        </w:rPr>
      </w:pPr>
      <w:r w:rsidRPr="001A2087">
        <w:rPr>
          <w:rFonts w:asciiTheme="majorHAnsi" w:hAnsiTheme="majorHAnsi"/>
          <w:b/>
          <w:i/>
        </w:rPr>
        <w:t xml:space="preserve">Wider </w:t>
      </w:r>
      <w:r w:rsidR="001A2087" w:rsidRPr="001A2087">
        <w:rPr>
          <w:rFonts w:asciiTheme="majorHAnsi" w:hAnsiTheme="majorHAnsi"/>
          <w:b/>
          <w:i/>
        </w:rPr>
        <w:t>E</w:t>
      </w:r>
      <w:r w:rsidRPr="001A2087">
        <w:rPr>
          <w:rFonts w:asciiTheme="majorHAnsi" w:hAnsiTheme="majorHAnsi"/>
          <w:b/>
          <w:i/>
        </w:rPr>
        <w:t xml:space="preserve">mployability </w:t>
      </w:r>
      <w:r w:rsidR="001A2087" w:rsidRPr="001A2087">
        <w:rPr>
          <w:rFonts w:asciiTheme="majorHAnsi" w:hAnsiTheme="majorHAnsi"/>
          <w:b/>
          <w:i/>
        </w:rPr>
        <w:t>S</w:t>
      </w:r>
      <w:r w:rsidRPr="001A2087">
        <w:rPr>
          <w:rFonts w:asciiTheme="majorHAnsi" w:hAnsiTheme="majorHAnsi"/>
          <w:b/>
          <w:i/>
        </w:rPr>
        <w:t>upport</w:t>
      </w:r>
    </w:p>
    <w:p w14:paraId="7C209E10" w14:textId="77777777" w:rsidR="006723FF" w:rsidRPr="00D3305F" w:rsidRDefault="006723FF" w:rsidP="00FA1856">
      <w:pPr>
        <w:spacing w:after="0" w:line="240" w:lineRule="auto"/>
        <w:rPr>
          <w:rFonts w:asciiTheme="majorHAnsi" w:hAnsiTheme="majorHAnsi"/>
          <w:u w:val="single"/>
          <w:lang w:val="en-US"/>
        </w:rPr>
      </w:pPr>
    </w:p>
    <w:p w14:paraId="0A5CBB62" w14:textId="77777777" w:rsidR="006723FF" w:rsidRPr="001A2087" w:rsidRDefault="006723FF" w:rsidP="001A2087">
      <w:pPr>
        <w:spacing w:after="0" w:line="240" w:lineRule="auto"/>
        <w:jc w:val="center"/>
        <w:rPr>
          <w:rFonts w:asciiTheme="majorHAnsi" w:hAnsiTheme="majorHAnsi"/>
          <w:b/>
          <w:u w:val="single"/>
        </w:rPr>
      </w:pPr>
      <w:r w:rsidRPr="001A2087">
        <w:rPr>
          <w:rFonts w:asciiTheme="majorHAnsi" w:hAnsiTheme="majorHAnsi"/>
          <w:b/>
          <w:u w:val="single"/>
        </w:rPr>
        <w:t>Who is this document for and how should it be used?</w:t>
      </w:r>
    </w:p>
    <w:p w14:paraId="228D63EA" w14:textId="77777777" w:rsidR="006723FF" w:rsidRDefault="006723FF" w:rsidP="00FA1856">
      <w:pPr>
        <w:spacing w:after="0" w:line="240" w:lineRule="auto"/>
        <w:rPr>
          <w:rFonts w:asciiTheme="majorHAnsi" w:hAnsiTheme="majorHAnsi"/>
          <w:u w:val="single"/>
        </w:rPr>
      </w:pPr>
    </w:p>
    <w:p w14:paraId="253EBC29" w14:textId="77777777" w:rsidR="00CC45F3" w:rsidRDefault="00CC45F3" w:rsidP="00CC45F3">
      <w:pPr>
        <w:spacing w:after="0" w:line="240" w:lineRule="auto"/>
        <w:rPr>
          <w:rFonts w:asciiTheme="majorHAnsi" w:hAnsiTheme="majorHAnsi"/>
        </w:rPr>
      </w:pPr>
      <w:r w:rsidRPr="00FA1856">
        <w:rPr>
          <w:rFonts w:asciiTheme="majorHAnsi" w:hAnsiTheme="majorHAnsi"/>
        </w:rPr>
        <w:t xml:space="preserve">The </w:t>
      </w:r>
      <w:r w:rsidR="001A2087">
        <w:rPr>
          <w:rFonts w:asciiTheme="majorHAnsi" w:hAnsiTheme="majorHAnsi"/>
        </w:rPr>
        <w:t>Employability and Success</w:t>
      </w:r>
      <w:r w:rsidRPr="00FA1856">
        <w:rPr>
          <w:rFonts w:asciiTheme="majorHAnsi" w:hAnsiTheme="majorHAnsi"/>
        </w:rPr>
        <w:t xml:space="preserve"> Strategy sets out the University’s interconnected priorities, objectives and metrics for achieving </w:t>
      </w:r>
      <w:r>
        <w:rPr>
          <w:rFonts w:asciiTheme="majorHAnsi" w:hAnsiTheme="majorHAnsi"/>
        </w:rPr>
        <w:t xml:space="preserve">graduate </w:t>
      </w:r>
      <w:r w:rsidR="001A2087">
        <w:rPr>
          <w:rFonts w:asciiTheme="majorHAnsi" w:hAnsiTheme="majorHAnsi"/>
        </w:rPr>
        <w:t xml:space="preserve">progression and </w:t>
      </w:r>
      <w:r w:rsidRPr="00FA1856">
        <w:rPr>
          <w:rFonts w:asciiTheme="majorHAnsi" w:hAnsiTheme="majorHAnsi"/>
        </w:rPr>
        <w:t xml:space="preserve">success; creating a joint focus across academic and professional service </w:t>
      </w:r>
      <w:r>
        <w:rPr>
          <w:rFonts w:asciiTheme="majorHAnsi" w:hAnsiTheme="majorHAnsi"/>
        </w:rPr>
        <w:t>area</w:t>
      </w:r>
      <w:r w:rsidRPr="00FA1856">
        <w:rPr>
          <w:rFonts w:asciiTheme="majorHAnsi" w:hAnsiTheme="majorHAnsi"/>
        </w:rPr>
        <w:t xml:space="preserve">s.  With this in mind, the university recognises that it cannot ignore the intrinsic link between academic knowledge with employability enhancing activities and projects.  Therefore, this strategy is closely </w:t>
      </w:r>
      <w:r>
        <w:rPr>
          <w:rFonts w:asciiTheme="majorHAnsi" w:hAnsiTheme="majorHAnsi"/>
        </w:rPr>
        <w:t>aligned with</w:t>
      </w:r>
      <w:r w:rsidRPr="00FA1856">
        <w:rPr>
          <w:rFonts w:asciiTheme="majorHAnsi" w:hAnsiTheme="majorHAnsi"/>
        </w:rPr>
        <w:t xml:space="preserve"> the University’s Education, Student Experience, </w:t>
      </w:r>
      <w:r>
        <w:rPr>
          <w:rFonts w:asciiTheme="majorHAnsi" w:hAnsiTheme="majorHAnsi"/>
        </w:rPr>
        <w:t xml:space="preserve">Knowledge Exchange, </w:t>
      </w:r>
      <w:r w:rsidRPr="00FA1856">
        <w:rPr>
          <w:rFonts w:asciiTheme="majorHAnsi" w:hAnsiTheme="majorHAnsi"/>
        </w:rPr>
        <w:t xml:space="preserve">Research and International Strategies.  </w:t>
      </w:r>
    </w:p>
    <w:p w14:paraId="72C5348D" w14:textId="77777777" w:rsidR="00CC45F3" w:rsidRDefault="00CC45F3" w:rsidP="00FA1856">
      <w:pPr>
        <w:spacing w:after="0" w:line="240" w:lineRule="auto"/>
        <w:rPr>
          <w:rFonts w:asciiTheme="majorHAnsi" w:hAnsiTheme="majorHAnsi"/>
        </w:rPr>
      </w:pPr>
    </w:p>
    <w:p w14:paraId="127E0641" w14:textId="77777777" w:rsidR="001A2087" w:rsidRDefault="00B87A24" w:rsidP="00FA1856">
      <w:pPr>
        <w:spacing w:after="0" w:line="240" w:lineRule="auto"/>
        <w:rPr>
          <w:rFonts w:asciiTheme="majorHAnsi" w:hAnsiTheme="majorHAnsi"/>
        </w:rPr>
      </w:pPr>
      <w:r w:rsidRPr="00A34E87">
        <w:rPr>
          <w:rFonts w:asciiTheme="majorHAnsi" w:hAnsiTheme="majorHAnsi"/>
        </w:rPr>
        <w:t xml:space="preserve">As </w:t>
      </w:r>
      <w:r w:rsidR="00285C23" w:rsidRPr="00A34E87">
        <w:rPr>
          <w:rFonts w:asciiTheme="majorHAnsi" w:hAnsiTheme="majorHAnsi"/>
        </w:rPr>
        <w:t>a</w:t>
      </w:r>
      <w:r w:rsidR="00A1755E" w:rsidRPr="00A34E87">
        <w:rPr>
          <w:rFonts w:asciiTheme="majorHAnsi" w:hAnsiTheme="majorHAnsi"/>
        </w:rPr>
        <w:t xml:space="preserve"> whole</w:t>
      </w:r>
      <w:r w:rsidRPr="00A34E87">
        <w:rPr>
          <w:rFonts w:asciiTheme="majorHAnsi" w:hAnsiTheme="majorHAnsi"/>
        </w:rPr>
        <w:t xml:space="preserve"> institution approach to the development of graduate </w:t>
      </w:r>
      <w:r w:rsidR="001A2087">
        <w:rPr>
          <w:rFonts w:asciiTheme="majorHAnsi" w:hAnsiTheme="majorHAnsi"/>
        </w:rPr>
        <w:t xml:space="preserve">employability and </w:t>
      </w:r>
      <w:r w:rsidRPr="00A34E87">
        <w:rPr>
          <w:rFonts w:asciiTheme="majorHAnsi" w:hAnsiTheme="majorHAnsi"/>
        </w:rPr>
        <w:t xml:space="preserve">success, this strategy should be </w:t>
      </w:r>
      <w:r w:rsidR="00CC45F3">
        <w:rPr>
          <w:rFonts w:asciiTheme="majorHAnsi" w:hAnsiTheme="majorHAnsi"/>
        </w:rPr>
        <w:t xml:space="preserve">considered by academic and professional service </w:t>
      </w:r>
      <w:r w:rsidR="00E53BB1">
        <w:rPr>
          <w:rFonts w:asciiTheme="majorHAnsi" w:hAnsiTheme="majorHAnsi"/>
        </w:rPr>
        <w:t>teams</w:t>
      </w:r>
      <w:r w:rsidR="00CC45F3">
        <w:rPr>
          <w:rFonts w:asciiTheme="majorHAnsi" w:hAnsiTheme="majorHAnsi"/>
        </w:rPr>
        <w:t xml:space="preserve"> across the whole institution</w:t>
      </w:r>
      <w:r w:rsidRPr="00A34E87">
        <w:rPr>
          <w:rFonts w:asciiTheme="majorHAnsi" w:hAnsiTheme="majorHAnsi"/>
        </w:rPr>
        <w:t xml:space="preserve">.  The </w:t>
      </w:r>
      <w:r w:rsidR="00A1755E" w:rsidRPr="00A34E87">
        <w:rPr>
          <w:rFonts w:asciiTheme="majorHAnsi" w:hAnsiTheme="majorHAnsi"/>
        </w:rPr>
        <w:t>strategy</w:t>
      </w:r>
      <w:r w:rsidRPr="00A34E87">
        <w:rPr>
          <w:rFonts w:asciiTheme="majorHAnsi" w:hAnsiTheme="majorHAnsi"/>
        </w:rPr>
        <w:t xml:space="preserve"> </w:t>
      </w:r>
      <w:r w:rsidR="00285C23" w:rsidRPr="00A34E87">
        <w:rPr>
          <w:rFonts w:asciiTheme="majorHAnsi" w:hAnsiTheme="majorHAnsi"/>
        </w:rPr>
        <w:t>identifies</w:t>
      </w:r>
      <w:r w:rsidRPr="00A34E87">
        <w:rPr>
          <w:rFonts w:asciiTheme="majorHAnsi" w:hAnsiTheme="majorHAnsi"/>
        </w:rPr>
        <w:t xml:space="preserve"> three strategic areas of </w:t>
      </w:r>
      <w:r w:rsidR="00A1755E" w:rsidRPr="00A34E87">
        <w:rPr>
          <w:rFonts w:asciiTheme="majorHAnsi" w:hAnsiTheme="majorHAnsi"/>
        </w:rPr>
        <w:t xml:space="preserve">focus, </w:t>
      </w:r>
      <w:r w:rsidRPr="00A34E87">
        <w:rPr>
          <w:rFonts w:asciiTheme="majorHAnsi" w:hAnsiTheme="majorHAnsi"/>
        </w:rPr>
        <w:t xml:space="preserve">each with a </w:t>
      </w:r>
      <w:r w:rsidR="00285C23" w:rsidRPr="00A34E87">
        <w:rPr>
          <w:rFonts w:asciiTheme="majorHAnsi" w:hAnsiTheme="majorHAnsi"/>
        </w:rPr>
        <w:t>defined strategic aim</w:t>
      </w:r>
      <w:r w:rsidRPr="00A34E87">
        <w:rPr>
          <w:rFonts w:asciiTheme="majorHAnsi" w:hAnsiTheme="majorHAnsi"/>
        </w:rPr>
        <w:t xml:space="preserve">.  </w:t>
      </w:r>
      <w:r w:rsidR="00A1755E" w:rsidRPr="00A34E87">
        <w:rPr>
          <w:rFonts w:asciiTheme="majorHAnsi" w:hAnsiTheme="majorHAnsi"/>
        </w:rPr>
        <w:t>Subsequently, each aim is followed up with statements of intent to help aid the progression and</w:t>
      </w:r>
    </w:p>
    <w:p w14:paraId="07C29700" w14:textId="77777777" w:rsidR="00D26156" w:rsidRDefault="00A1755E" w:rsidP="00FA1856">
      <w:pPr>
        <w:spacing w:after="0" w:line="240" w:lineRule="auto"/>
        <w:rPr>
          <w:rFonts w:asciiTheme="majorHAnsi" w:hAnsiTheme="majorHAnsi"/>
        </w:rPr>
      </w:pPr>
      <w:r w:rsidRPr="00A34E87">
        <w:rPr>
          <w:rFonts w:asciiTheme="majorHAnsi" w:hAnsiTheme="majorHAnsi"/>
        </w:rPr>
        <w:t xml:space="preserve">evolution of each </w:t>
      </w:r>
      <w:r w:rsidR="00285C23" w:rsidRPr="00A34E87">
        <w:rPr>
          <w:rFonts w:asciiTheme="majorHAnsi" w:hAnsiTheme="majorHAnsi"/>
        </w:rPr>
        <w:t xml:space="preserve">strategic area. In doing so, </w:t>
      </w:r>
      <w:r w:rsidR="00E53BB1">
        <w:rPr>
          <w:rFonts w:asciiTheme="majorHAnsi" w:hAnsiTheme="majorHAnsi"/>
        </w:rPr>
        <w:t>all departments</w:t>
      </w:r>
      <w:r w:rsidR="00285C23" w:rsidRPr="00A34E87">
        <w:rPr>
          <w:rFonts w:asciiTheme="majorHAnsi" w:hAnsiTheme="majorHAnsi"/>
        </w:rPr>
        <w:t xml:space="preserve"> can start to consider </w:t>
      </w:r>
      <w:r w:rsidR="00BF7D95">
        <w:rPr>
          <w:rFonts w:asciiTheme="majorHAnsi" w:hAnsiTheme="majorHAnsi"/>
          <w:color w:val="FF0000"/>
        </w:rPr>
        <w:t>a</w:t>
      </w:r>
      <w:r w:rsidR="00BF7D95" w:rsidRPr="00BF7D95">
        <w:rPr>
          <w:rFonts w:asciiTheme="majorHAnsi" w:hAnsiTheme="majorHAnsi"/>
        </w:rPr>
        <w:t xml:space="preserve">reas for development; internally to them or as part of a wider </w:t>
      </w:r>
      <w:r w:rsidR="00E53BB1">
        <w:rPr>
          <w:rFonts w:asciiTheme="majorHAnsi" w:hAnsiTheme="majorHAnsi"/>
        </w:rPr>
        <w:t xml:space="preserve">(central) </w:t>
      </w:r>
      <w:r w:rsidR="00BF7D95" w:rsidRPr="00BF7D95">
        <w:rPr>
          <w:rFonts w:asciiTheme="majorHAnsi" w:hAnsiTheme="majorHAnsi"/>
        </w:rPr>
        <w:t xml:space="preserve">working party/group. </w:t>
      </w:r>
    </w:p>
    <w:p w14:paraId="4F2794FE" w14:textId="77777777" w:rsidR="00D26156" w:rsidRDefault="00D26156" w:rsidP="00FA1856">
      <w:pPr>
        <w:spacing w:after="0" w:line="240" w:lineRule="auto"/>
        <w:rPr>
          <w:rFonts w:asciiTheme="majorHAnsi" w:hAnsiTheme="majorHAnsi"/>
        </w:rPr>
      </w:pPr>
    </w:p>
    <w:p w14:paraId="3C8BC4BE" w14:textId="77777777" w:rsidR="006C1E2E" w:rsidRDefault="00285C23" w:rsidP="00FA1856">
      <w:pPr>
        <w:spacing w:after="0" w:line="240" w:lineRule="auto"/>
        <w:rPr>
          <w:rFonts w:asciiTheme="majorHAnsi" w:hAnsiTheme="majorHAnsi"/>
        </w:rPr>
      </w:pPr>
      <w:r w:rsidRPr="00A34E87">
        <w:rPr>
          <w:rFonts w:asciiTheme="majorHAnsi" w:hAnsiTheme="majorHAnsi"/>
        </w:rPr>
        <w:lastRenderedPageBreak/>
        <w:t xml:space="preserve">Content is written in a manner which will </w:t>
      </w:r>
      <w:r w:rsidR="001A2087">
        <w:rPr>
          <w:rFonts w:asciiTheme="majorHAnsi" w:hAnsiTheme="majorHAnsi"/>
        </w:rPr>
        <w:t>encourage and facilitate</w:t>
      </w:r>
      <w:r w:rsidRPr="00A34E87">
        <w:rPr>
          <w:rFonts w:asciiTheme="majorHAnsi" w:hAnsiTheme="majorHAnsi"/>
        </w:rPr>
        <w:t xml:space="preserve"> further conversation, development of service provision and positively impact upon consistency of approach across all departments</w:t>
      </w:r>
      <w:r w:rsidR="001A2087">
        <w:rPr>
          <w:rFonts w:asciiTheme="majorHAnsi" w:hAnsiTheme="majorHAnsi"/>
        </w:rPr>
        <w:t>; supporting effective action planning and developments.</w:t>
      </w:r>
      <w:r w:rsidRPr="00A34E87">
        <w:rPr>
          <w:rFonts w:asciiTheme="majorHAnsi" w:hAnsiTheme="majorHAnsi"/>
        </w:rPr>
        <w:t xml:space="preserve"> </w:t>
      </w:r>
      <w:bookmarkStart w:id="1" w:name="_Hlk84580524"/>
      <w:r w:rsidR="00F358CE">
        <w:rPr>
          <w:rFonts w:asciiTheme="majorHAnsi" w:hAnsiTheme="majorHAnsi"/>
        </w:rPr>
        <w:t>Furthermore, e</w:t>
      </w:r>
      <w:r w:rsidR="00BF7D95">
        <w:rPr>
          <w:rFonts w:asciiTheme="majorHAnsi" w:hAnsiTheme="majorHAnsi"/>
        </w:rPr>
        <w:t xml:space="preserve">nabling all staff to consider their impact on the student journey </w:t>
      </w:r>
      <w:r w:rsidR="00E53BB1">
        <w:rPr>
          <w:rFonts w:asciiTheme="majorHAnsi" w:hAnsiTheme="majorHAnsi"/>
        </w:rPr>
        <w:t xml:space="preserve">and how best to enhance </w:t>
      </w:r>
      <w:r w:rsidR="0030658E">
        <w:rPr>
          <w:rFonts w:asciiTheme="majorHAnsi" w:hAnsiTheme="majorHAnsi"/>
        </w:rPr>
        <w:t>their</w:t>
      </w:r>
      <w:r w:rsidR="00E53BB1">
        <w:rPr>
          <w:rFonts w:asciiTheme="majorHAnsi" w:hAnsiTheme="majorHAnsi"/>
        </w:rPr>
        <w:t xml:space="preserve"> contribution to graduate success, progression and employability. </w:t>
      </w:r>
    </w:p>
    <w:p w14:paraId="59077926" w14:textId="77777777" w:rsidR="00020174" w:rsidRDefault="00020174" w:rsidP="00FA1856">
      <w:pPr>
        <w:spacing w:after="0" w:line="240" w:lineRule="auto"/>
        <w:rPr>
          <w:rFonts w:asciiTheme="majorHAnsi" w:hAnsiTheme="majorHAnsi"/>
        </w:rPr>
      </w:pPr>
    </w:p>
    <w:p w14:paraId="0EBF95A1" w14:textId="77777777" w:rsidR="00E53BB1" w:rsidRDefault="001D3C3C" w:rsidP="00FA1856">
      <w:pPr>
        <w:spacing w:after="0" w:line="240" w:lineRule="auto"/>
        <w:rPr>
          <w:rFonts w:asciiTheme="majorHAnsi" w:hAnsiTheme="majorHAnsi"/>
        </w:rPr>
      </w:pPr>
      <w:r w:rsidRPr="00A34E87">
        <w:rPr>
          <w:rFonts w:asciiTheme="majorHAnsi" w:hAnsiTheme="majorHAnsi"/>
        </w:rPr>
        <w:t>For e</w:t>
      </w:r>
      <w:r w:rsidR="00285C23" w:rsidRPr="00A34E87">
        <w:rPr>
          <w:rFonts w:asciiTheme="majorHAnsi" w:hAnsiTheme="majorHAnsi"/>
        </w:rPr>
        <w:t>x</w:t>
      </w:r>
      <w:r w:rsidRPr="00A34E87">
        <w:rPr>
          <w:rFonts w:asciiTheme="majorHAnsi" w:hAnsiTheme="majorHAnsi"/>
        </w:rPr>
        <w:t>te</w:t>
      </w:r>
      <w:r w:rsidR="00285C23" w:rsidRPr="00A34E87">
        <w:rPr>
          <w:rFonts w:asciiTheme="majorHAnsi" w:hAnsiTheme="majorHAnsi"/>
        </w:rPr>
        <w:t>r</w:t>
      </w:r>
      <w:r w:rsidRPr="00A34E87">
        <w:rPr>
          <w:rFonts w:asciiTheme="majorHAnsi" w:hAnsiTheme="majorHAnsi"/>
        </w:rPr>
        <w:t xml:space="preserve">nal stakeholders, this </w:t>
      </w:r>
      <w:r w:rsidR="00D76C53" w:rsidRPr="00A34E87">
        <w:rPr>
          <w:rFonts w:asciiTheme="majorHAnsi" w:hAnsiTheme="majorHAnsi"/>
        </w:rPr>
        <w:t xml:space="preserve">document </w:t>
      </w:r>
      <w:r w:rsidRPr="00A34E87">
        <w:rPr>
          <w:rFonts w:asciiTheme="majorHAnsi" w:hAnsiTheme="majorHAnsi"/>
        </w:rPr>
        <w:t>will s</w:t>
      </w:r>
      <w:r w:rsidR="00285C23" w:rsidRPr="00A34E87">
        <w:rPr>
          <w:rFonts w:asciiTheme="majorHAnsi" w:hAnsiTheme="majorHAnsi"/>
        </w:rPr>
        <w:t>e</w:t>
      </w:r>
      <w:r w:rsidRPr="00A34E87">
        <w:rPr>
          <w:rFonts w:asciiTheme="majorHAnsi" w:hAnsiTheme="majorHAnsi"/>
        </w:rPr>
        <w:t>rve as a refe</w:t>
      </w:r>
      <w:r w:rsidR="00285C23" w:rsidRPr="00A34E87">
        <w:rPr>
          <w:rFonts w:asciiTheme="majorHAnsi" w:hAnsiTheme="majorHAnsi"/>
        </w:rPr>
        <w:t>re</w:t>
      </w:r>
      <w:r w:rsidRPr="00A34E87">
        <w:rPr>
          <w:rFonts w:asciiTheme="majorHAnsi" w:hAnsiTheme="majorHAnsi"/>
        </w:rPr>
        <w:t>nce po</w:t>
      </w:r>
      <w:r w:rsidR="00A34E87" w:rsidRPr="00A34E87">
        <w:rPr>
          <w:rFonts w:asciiTheme="majorHAnsi" w:hAnsiTheme="majorHAnsi"/>
        </w:rPr>
        <w:t>i</w:t>
      </w:r>
      <w:r w:rsidRPr="00A34E87">
        <w:rPr>
          <w:rFonts w:asciiTheme="majorHAnsi" w:hAnsiTheme="majorHAnsi"/>
        </w:rPr>
        <w:t>n</w:t>
      </w:r>
      <w:r w:rsidR="00A34E87" w:rsidRPr="00A34E87">
        <w:rPr>
          <w:rFonts w:asciiTheme="majorHAnsi" w:hAnsiTheme="majorHAnsi"/>
        </w:rPr>
        <w:t>t</w:t>
      </w:r>
      <w:r w:rsidR="00E53BB1">
        <w:rPr>
          <w:rFonts w:asciiTheme="majorHAnsi" w:hAnsiTheme="majorHAnsi"/>
        </w:rPr>
        <w:t>, identifying</w:t>
      </w:r>
      <w:r w:rsidR="006C1E2E">
        <w:rPr>
          <w:rFonts w:asciiTheme="majorHAnsi" w:hAnsiTheme="majorHAnsi"/>
        </w:rPr>
        <w:t xml:space="preserve"> </w:t>
      </w:r>
      <w:r w:rsidR="006C1E2E" w:rsidRPr="00A34E87">
        <w:rPr>
          <w:rFonts w:asciiTheme="majorHAnsi" w:hAnsiTheme="majorHAnsi"/>
        </w:rPr>
        <w:t>what</w:t>
      </w:r>
      <w:r w:rsidRPr="00A34E87">
        <w:rPr>
          <w:rFonts w:asciiTheme="majorHAnsi" w:hAnsiTheme="majorHAnsi"/>
        </w:rPr>
        <w:t xml:space="preserve"> the </w:t>
      </w:r>
      <w:r w:rsidR="00A34E87" w:rsidRPr="00A34E87">
        <w:rPr>
          <w:rFonts w:asciiTheme="majorHAnsi" w:hAnsiTheme="majorHAnsi"/>
        </w:rPr>
        <w:t>University</w:t>
      </w:r>
      <w:r w:rsidR="00E53BB1">
        <w:rPr>
          <w:rFonts w:asciiTheme="majorHAnsi" w:hAnsiTheme="majorHAnsi"/>
        </w:rPr>
        <w:t xml:space="preserve">, </w:t>
      </w:r>
      <w:r w:rsidRPr="00A34E87">
        <w:rPr>
          <w:rFonts w:asciiTheme="majorHAnsi" w:hAnsiTheme="majorHAnsi"/>
        </w:rPr>
        <w:t xml:space="preserve">as the </w:t>
      </w:r>
      <w:r w:rsidR="00A34E87" w:rsidRPr="00A34E87">
        <w:rPr>
          <w:rFonts w:asciiTheme="majorHAnsi" w:hAnsiTheme="majorHAnsi"/>
        </w:rPr>
        <w:t>region’s</w:t>
      </w:r>
      <w:r w:rsidRPr="00A34E87">
        <w:rPr>
          <w:rFonts w:asciiTheme="majorHAnsi" w:hAnsiTheme="majorHAnsi"/>
        </w:rPr>
        <w:t xml:space="preserve"> anchor institution, is trying to </w:t>
      </w:r>
      <w:r w:rsidR="00A34E87" w:rsidRPr="00A34E87">
        <w:rPr>
          <w:rFonts w:asciiTheme="majorHAnsi" w:hAnsiTheme="majorHAnsi"/>
        </w:rPr>
        <w:t>achieve</w:t>
      </w:r>
      <w:r w:rsidRPr="00A34E87">
        <w:rPr>
          <w:rFonts w:asciiTheme="majorHAnsi" w:hAnsiTheme="majorHAnsi"/>
        </w:rPr>
        <w:t xml:space="preserve"> in terms of ensuring </w:t>
      </w:r>
      <w:r w:rsidR="00A34E87" w:rsidRPr="00A34E87">
        <w:rPr>
          <w:rFonts w:asciiTheme="majorHAnsi" w:hAnsiTheme="majorHAnsi"/>
        </w:rPr>
        <w:t>graduates</w:t>
      </w:r>
      <w:r w:rsidRPr="00A34E87">
        <w:rPr>
          <w:rFonts w:asciiTheme="majorHAnsi" w:hAnsiTheme="majorHAnsi"/>
        </w:rPr>
        <w:t xml:space="preserve"> are ready</w:t>
      </w:r>
      <w:r w:rsidR="00A34E87" w:rsidRPr="00A34E87">
        <w:rPr>
          <w:rFonts w:asciiTheme="majorHAnsi" w:hAnsiTheme="majorHAnsi"/>
        </w:rPr>
        <w:t xml:space="preserve"> for</w:t>
      </w:r>
      <w:r w:rsidRPr="00A34E87">
        <w:rPr>
          <w:rFonts w:asciiTheme="majorHAnsi" w:hAnsiTheme="majorHAnsi"/>
        </w:rPr>
        <w:t xml:space="preserve"> their next </w:t>
      </w:r>
      <w:r w:rsidR="00A34E87" w:rsidRPr="00A34E87">
        <w:rPr>
          <w:rFonts w:asciiTheme="majorHAnsi" w:hAnsiTheme="majorHAnsi"/>
        </w:rPr>
        <w:t>steps</w:t>
      </w:r>
      <w:r w:rsidRPr="00A34E87">
        <w:rPr>
          <w:rFonts w:asciiTheme="majorHAnsi" w:hAnsiTheme="majorHAnsi"/>
        </w:rPr>
        <w:t xml:space="preserve"> and </w:t>
      </w:r>
      <w:r w:rsidR="00A34E87" w:rsidRPr="00A34E87">
        <w:rPr>
          <w:rFonts w:asciiTheme="majorHAnsi" w:hAnsiTheme="majorHAnsi"/>
        </w:rPr>
        <w:t xml:space="preserve">continue to </w:t>
      </w:r>
      <w:r w:rsidR="00285C23" w:rsidRPr="00A34E87">
        <w:rPr>
          <w:rFonts w:asciiTheme="majorHAnsi" w:hAnsiTheme="majorHAnsi"/>
        </w:rPr>
        <w:t xml:space="preserve">help shape and </w:t>
      </w:r>
      <w:r w:rsidRPr="00A34E87">
        <w:rPr>
          <w:rFonts w:asciiTheme="majorHAnsi" w:hAnsiTheme="majorHAnsi"/>
        </w:rPr>
        <w:t>cont</w:t>
      </w:r>
      <w:r w:rsidR="00A34E87" w:rsidRPr="00A34E87">
        <w:rPr>
          <w:rFonts w:asciiTheme="majorHAnsi" w:hAnsiTheme="majorHAnsi"/>
        </w:rPr>
        <w:t>ribute</w:t>
      </w:r>
      <w:r w:rsidRPr="00A34E87">
        <w:rPr>
          <w:rFonts w:asciiTheme="majorHAnsi" w:hAnsiTheme="majorHAnsi"/>
        </w:rPr>
        <w:t xml:space="preserve"> to the </w:t>
      </w:r>
      <w:r w:rsidR="00A34E87" w:rsidRPr="00A34E87">
        <w:rPr>
          <w:rFonts w:asciiTheme="majorHAnsi" w:hAnsiTheme="majorHAnsi"/>
        </w:rPr>
        <w:t>local</w:t>
      </w:r>
      <w:r w:rsidRPr="00A34E87">
        <w:rPr>
          <w:rFonts w:asciiTheme="majorHAnsi" w:hAnsiTheme="majorHAnsi"/>
        </w:rPr>
        <w:t xml:space="preserve"> economy and</w:t>
      </w:r>
      <w:r w:rsidR="00A34E87" w:rsidRPr="00A34E87">
        <w:rPr>
          <w:rFonts w:asciiTheme="majorHAnsi" w:hAnsiTheme="majorHAnsi"/>
        </w:rPr>
        <w:t xml:space="preserve"> b</w:t>
      </w:r>
      <w:r w:rsidRPr="00A34E87">
        <w:rPr>
          <w:rFonts w:asciiTheme="majorHAnsi" w:hAnsiTheme="majorHAnsi"/>
        </w:rPr>
        <w:t xml:space="preserve">eyond. </w:t>
      </w:r>
    </w:p>
    <w:p w14:paraId="66DBE766" w14:textId="77777777" w:rsidR="00E53BB1" w:rsidRDefault="00E53BB1" w:rsidP="00FA1856">
      <w:pPr>
        <w:spacing w:after="0" w:line="240" w:lineRule="auto"/>
        <w:rPr>
          <w:rFonts w:asciiTheme="majorHAnsi" w:hAnsiTheme="majorHAnsi"/>
        </w:rPr>
      </w:pPr>
    </w:p>
    <w:p w14:paraId="1D4930D0" w14:textId="77777777" w:rsidR="001D3C3C" w:rsidRPr="00A34E87" w:rsidRDefault="00285C23" w:rsidP="00FA1856">
      <w:pPr>
        <w:spacing w:after="0" w:line="240" w:lineRule="auto"/>
        <w:rPr>
          <w:rFonts w:asciiTheme="majorHAnsi" w:hAnsiTheme="majorHAnsi"/>
        </w:rPr>
      </w:pPr>
      <w:r w:rsidRPr="00A34E87">
        <w:rPr>
          <w:rFonts w:asciiTheme="majorHAnsi" w:hAnsiTheme="majorHAnsi"/>
        </w:rPr>
        <w:t xml:space="preserve">It is hopeful that in reading this document external stakeholders will also be </w:t>
      </w:r>
      <w:r w:rsidR="00A34E87" w:rsidRPr="00A34E87">
        <w:rPr>
          <w:rFonts w:asciiTheme="majorHAnsi" w:hAnsiTheme="majorHAnsi"/>
        </w:rPr>
        <w:t>able</w:t>
      </w:r>
      <w:r w:rsidRPr="00A34E87">
        <w:rPr>
          <w:rFonts w:asciiTheme="majorHAnsi" w:hAnsiTheme="majorHAnsi"/>
        </w:rPr>
        <w:t xml:space="preserve"> to </w:t>
      </w:r>
      <w:r w:rsidR="00A34E87" w:rsidRPr="00A34E87">
        <w:rPr>
          <w:rFonts w:asciiTheme="majorHAnsi" w:hAnsiTheme="majorHAnsi"/>
        </w:rPr>
        <w:t>consider</w:t>
      </w:r>
      <w:r w:rsidRPr="00A34E87">
        <w:rPr>
          <w:rFonts w:asciiTheme="majorHAnsi" w:hAnsiTheme="majorHAnsi"/>
        </w:rPr>
        <w:t xml:space="preserve"> ways in which they can </w:t>
      </w:r>
      <w:r w:rsidR="00A34E87" w:rsidRPr="00A34E87">
        <w:rPr>
          <w:rFonts w:asciiTheme="majorHAnsi" w:hAnsiTheme="majorHAnsi"/>
        </w:rPr>
        <w:t>engage with the institution</w:t>
      </w:r>
      <w:r w:rsidR="00BF7D95">
        <w:rPr>
          <w:rFonts w:asciiTheme="majorHAnsi" w:hAnsiTheme="majorHAnsi"/>
        </w:rPr>
        <w:t xml:space="preserve">, provide </w:t>
      </w:r>
      <w:r w:rsidRPr="00A34E87">
        <w:rPr>
          <w:rFonts w:asciiTheme="majorHAnsi" w:hAnsiTheme="majorHAnsi"/>
        </w:rPr>
        <w:t xml:space="preserve">support and take advantage of the </w:t>
      </w:r>
      <w:r w:rsidR="00A34E87" w:rsidRPr="00A34E87">
        <w:rPr>
          <w:rFonts w:asciiTheme="majorHAnsi" w:hAnsiTheme="majorHAnsi"/>
        </w:rPr>
        <w:t>University’s</w:t>
      </w:r>
      <w:r w:rsidRPr="00A34E87">
        <w:rPr>
          <w:rFonts w:asciiTheme="majorHAnsi" w:hAnsiTheme="majorHAnsi"/>
        </w:rPr>
        <w:t xml:space="preserve"> efforts </w:t>
      </w:r>
      <w:r w:rsidR="00D76C53" w:rsidRPr="00A34E87">
        <w:rPr>
          <w:rFonts w:asciiTheme="majorHAnsi" w:hAnsiTheme="majorHAnsi"/>
        </w:rPr>
        <w:t xml:space="preserve">and approaches </w:t>
      </w:r>
      <w:r w:rsidRPr="00A34E87">
        <w:rPr>
          <w:rFonts w:asciiTheme="majorHAnsi" w:hAnsiTheme="majorHAnsi"/>
        </w:rPr>
        <w:t xml:space="preserve">to </w:t>
      </w:r>
      <w:r w:rsidR="00D76C53" w:rsidRPr="00A34E87">
        <w:rPr>
          <w:rFonts w:asciiTheme="majorHAnsi" w:hAnsiTheme="majorHAnsi"/>
        </w:rPr>
        <w:t>developing graduate employability</w:t>
      </w:r>
      <w:r w:rsidR="001A2087">
        <w:rPr>
          <w:rFonts w:asciiTheme="majorHAnsi" w:hAnsiTheme="majorHAnsi"/>
        </w:rPr>
        <w:t xml:space="preserve"> and success</w:t>
      </w:r>
      <w:r w:rsidR="00D76C53" w:rsidRPr="00A34E87">
        <w:rPr>
          <w:rFonts w:asciiTheme="majorHAnsi" w:hAnsiTheme="majorHAnsi"/>
        </w:rPr>
        <w:t xml:space="preserve">. </w:t>
      </w:r>
    </w:p>
    <w:bookmarkEnd w:id="1"/>
    <w:p w14:paraId="1BE25F9A" w14:textId="77777777" w:rsidR="006723FF" w:rsidRDefault="006723FF" w:rsidP="00FA1856">
      <w:pPr>
        <w:spacing w:after="0" w:line="240" w:lineRule="auto"/>
        <w:rPr>
          <w:rFonts w:asciiTheme="majorHAnsi" w:hAnsiTheme="majorHAnsi"/>
          <w:u w:val="single"/>
        </w:rPr>
      </w:pPr>
    </w:p>
    <w:p w14:paraId="567A47B9" w14:textId="77777777" w:rsidR="00D50680" w:rsidRPr="001A2087" w:rsidRDefault="00422078" w:rsidP="001A2087">
      <w:pPr>
        <w:spacing w:after="0" w:line="240" w:lineRule="auto"/>
        <w:jc w:val="center"/>
        <w:rPr>
          <w:rFonts w:asciiTheme="majorHAnsi" w:hAnsiTheme="majorHAnsi"/>
          <w:b/>
          <w:u w:val="single"/>
        </w:rPr>
      </w:pPr>
      <w:r w:rsidRPr="001A2087">
        <w:rPr>
          <w:rFonts w:asciiTheme="majorHAnsi" w:hAnsiTheme="majorHAnsi"/>
          <w:b/>
          <w:u w:val="single"/>
        </w:rPr>
        <w:t>What do we mean by ‘</w:t>
      </w:r>
      <w:r w:rsidR="003B575E" w:rsidRPr="001A2087">
        <w:rPr>
          <w:rFonts w:asciiTheme="majorHAnsi" w:hAnsiTheme="majorHAnsi"/>
          <w:b/>
          <w:u w:val="single"/>
        </w:rPr>
        <w:t>Employability</w:t>
      </w:r>
      <w:r w:rsidRPr="001A2087">
        <w:rPr>
          <w:rFonts w:asciiTheme="majorHAnsi" w:hAnsiTheme="majorHAnsi"/>
          <w:b/>
          <w:u w:val="single"/>
        </w:rPr>
        <w:t>’?</w:t>
      </w:r>
    </w:p>
    <w:p w14:paraId="2C1E6790" w14:textId="77777777" w:rsidR="0040512B" w:rsidRPr="00FA1856" w:rsidRDefault="0040512B" w:rsidP="002333F2">
      <w:pPr>
        <w:spacing w:after="0" w:line="240" w:lineRule="auto"/>
        <w:rPr>
          <w:rFonts w:asciiTheme="majorHAnsi" w:hAnsiTheme="majorHAnsi"/>
        </w:rPr>
      </w:pPr>
    </w:p>
    <w:p w14:paraId="2577D39C" w14:textId="77777777" w:rsidR="00FD2A52" w:rsidRPr="00FA1856" w:rsidRDefault="00FD2A52" w:rsidP="002333F2">
      <w:pPr>
        <w:spacing w:after="0" w:line="240" w:lineRule="auto"/>
        <w:rPr>
          <w:rFonts w:asciiTheme="majorHAnsi" w:hAnsiTheme="majorHAnsi"/>
        </w:rPr>
      </w:pPr>
      <w:r w:rsidRPr="00FA1856">
        <w:rPr>
          <w:rFonts w:asciiTheme="majorHAnsi" w:hAnsiTheme="majorHAnsi"/>
        </w:rPr>
        <w:t>The University recognises that employability is a</w:t>
      </w:r>
      <w:r w:rsidR="00B169C4" w:rsidRPr="00FA1856">
        <w:rPr>
          <w:rFonts w:asciiTheme="majorHAnsi" w:hAnsiTheme="majorHAnsi"/>
        </w:rPr>
        <w:t xml:space="preserve"> </w:t>
      </w:r>
      <w:r w:rsidRPr="00FA1856">
        <w:rPr>
          <w:rFonts w:asciiTheme="majorHAnsi" w:hAnsiTheme="majorHAnsi"/>
        </w:rPr>
        <w:t xml:space="preserve">complex </w:t>
      </w:r>
      <w:r w:rsidR="00D90999" w:rsidRPr="00FA1856">
        <w:rPr>
          <w:rFonts w:asciiTheme="majorHAnsi" w:hAnsiTheme="majorHAnsi"/>
        </w:rPr>
        <w:t xml:space="preserve">and multifaceted </w:t>
      </w:r>
      <w:r w:rsidRPr="00FA1856">
        <w:rPr>
          <w:rFonts w:asciiTheme="majorHAnsi" w:hAnsiTheme="majorHAnsi"/>
        </w:rPr>
        <w:t>discourse, which will continue to adapt to</w:t>
      </w:r>
      <w:r w:rsidR="00290DB0">
        <w:rPr>
          <w:rFonts w:asciiTheme="majorHAnsi" w:hAnsiTheme="majorHAnsi"/>
        </w:rPr>
        <w:t xml:space="preserve"> a wide variety of drivers, including</w:t>
      </w:r>
      <w:r w:rsidRPr="00FA1856">
        <w:rPr>
          <w:rFonts w:asciiTheme="majorHAnsi" w:hAnsiTheme="majorHAnsi"/>
        </w:rPr>
        <w:t xml:space="preserve"> national policy developments and employer and graduate needs. As such the University will continue to evolve its approach to delivering employability outcomes</w:t>
      </w:r>
      <w:r w:rsidR="001B1CE2" w:rsidRPr="00FA1856">
        <w:rPr>
          <w:rFonts w:asciiTheme="majorHAnsi" w:hAnsiTheme="majorHAnsi"/>
        </w:rPr>
        <w:t xml:space="preserve"> and commit to an institution wide approach</w:t>
      </w:r>
      <w:r w:rsidRPr="00FA1856">
        <w:rPr>
          <w:rFonts w:asciiTheme="majorHAnsi" w:hAnsiTheme="majorHAnsi"/>
        </w:rPr>
        <w:t xml:space="preserve">. </w:t>
      </w:r>
      <w:r w:rsidR="0032730F">
        <w:rPr>
          <w:rFonts w:asciiTheme="majorHAnsi" w:hAnsiTheme="majorHAnsi"/>
        </w:rPr>
        <w:t>T</w:t>
      </w:r>
      <w:r w:rsidRPr="00FA1856">
        <w:rPr>
          <w:rFonts w:asciiTheme="majorHAnsi" w:hAnsiTheme="majorHAnsi"/>
        </w:rPr>
        <w:t xml:space="preserve">he University defines employability </w:t>
      </w:r>
      <w:r w:rsidR="001B1CE2" w:rsidRPr="00FA1856">
        <w:rPr>
          <w:rFonts w:asciiTheme="majorHAnsi" w:hAnsiTheme="majorHAnsi"/>
        </w:rPr>
        <w:t>as</w:t>
      </w:r>
      <w:r w:rsidRPr="00FA1856">
        <w:rPr>
          <w:rFonts w:asciiTheme="majorHAnsi" w:hAnsiTheme="majorHAnsi"/>
        </w:rPr>
        <w:t>:</w:t>
      </w:r>
    </w:p>
    <w:p w14:paraId="00FDC86A" w14:textId="77777777" w:rsidR="00FD2A52" w:rsidRPr="00FA1856" w:rsidRDefault="00FD2A52" w:rsidP="00290DB0">
      <w:pPr>
        <w:spacing w:after="0" w:line="240" w:lineRule="auto"/>
        <w:jc w:val="center"/>
        <w:rPr>
          <w:rFonts w:asciiTheme="majorHAnsi" w:hAnsiTheme="majorHAnsi"/>
          <w:i/>
          <w:color w:val="FF0000"/>
        </w:rPr>
      </w:pPr>
    </w:p>
    <w:p w14:paraId="22FE3B97" w14:textId="77777777" w:rsidR="00916867" w:rsidRPr="00FA1856" w:rsidRDefault="00FD2A52" w:rsidP="00290DB0">
      <w:pPr>
        <w:spacing w:after="0" w:line="240" w:lineRule="auto"/>
        <w:ind w:left="360"/>
        <w:jc w:val="center"/>
        <w:rPr>
          <w:rFonts w:asciiTheme="majorHAnsi" w:hAnsiTheme="majorHAnsi"/>
          <w:i/>
        </w:rPr>
      </w:pPr>
      <w:r w:rsidRPr="00FA1856">
        <w:rPr>
          <w:rFonts w:asciiTheme="majorHAnsi" w:hAnsiTheme="majorHAnsi"/>
          <w:i/>
        </w:rPr>
        <w:t>‘</w:t>
      </w:r>
      <w:r w:rsidR="00053E8B">
        <w:rPr>
          <w:rFonts w:asciiTheme="majorHAnsi" w:hAnsiTheme="majorHAnsi"/>
          <w:i/>
        </w:rPr>
        <w:t>Embedding</w:t>
      </w:r>
      <w:r w:rsidRPr="00FA1856">
        <w:rPr>
          <w:rFonts w:asciiTheme="majorHAnsi" w:hAnsiTheme="majorHAnsi"/>
          <w:i/>
        </w:rPr>
        <w:t xml:space="preserve"> academic learning with</w:t>
      </w:r>
      <w:r w:rsidR="001B1CE2" w:rsidRPr="00FA1856">
        <w:rPr>
          <w:rFonts w:asciiTheme="majorHAnsi" w:hAnsiTheme="majorHAnsi"/>
          <w:i/>
        </w:rPr>
        <w:t xml:space="preserve"> a</w:t>
      </w:r>
      <w:r w:rsidR="00410539" w:rsidRPr="00FA1856">
        <w:rPr>
          <w:rFonts w:asciiTheme="majorHAnsi" w:hAnsiTheme="majorHAnsi"/>
          <w:i/>
        </w:rPr>
        <w:t xml:space="preserve"> set</w:t>
      </w:r>
      <w:r w:rsidR="001B1CE2" w:rsidRPr="00FA1856">
        <w:rPr>
          <w:rFonts w:asciiTheme="majorHAnsi" w:hAnsiTheme="majorHAnsi"/>
          <w:i/>
        </w:rPr>
        <w:t xml:space="preserve"> </w:t>
      </w:r>
      <w:r w:rsidR="00410539" w:rsidRPr="00FA1856">
        <w:rPr>
          <w:rFonts w:asciiTheme="majorHAnsi" w:hAnsiTheme="majorHAnsi"/>
          <w:i/>
        </w:rPr>
        <w:t>of</w:t>
      </w:r>
      <w:r w:rsidRPr="00FA1856">
        <w:rPr>
          <w:rFonts w:asciiTheme="majorHAnsi" w:hAnsiTheme="majorHAnsi"/>
          <w:i/>
        </w:rPr>
        <w:t xml:space="preserve"> </w:t>
      </w:r>
      <w:r w:rsidR="00422078">
        <w:rPr>
          <w:rFonts w:asciiTheme="majorHAnsi" w:hAnsiTheme="majorHAnsi"/>
          <w:i/>
        </w:rPr>
        <w:t xml:space="preserve">competencies, </w:t>
      </w:r>
      <w:r w:rsidRPr="00FA1856">
        <w:rPr>
          <w:rFonts w:asciiTheme="majorHAnsi" w:hAnsiTheme="majorHAnsi"/>
          <w:i/>
        </w:rPr>
        <w:t>attributes,</w:t>
      </w:r>
    </w:p>
    <w:p w14:paraId="0E40C25D" w14:textId="77777777" w:rsidR="00916867" w:rsidRPr="00FA1856" w:rsidRDefault="00FD2A52" w:rsidP="00290DB0">
      <w:pPr>
        <w:spacing w:after="0" w:line="240" w:lineRule="auto"/>
        <w:ind w:left="360"/>
        <w:jc w:val="center"/>
        <w:rPr>
          <w:rFonts w:asciiTheme="majorHAnsi" w:hAnsiTheme="majorHAnsi"/>
          <w:i/>
        </w:rPr>
      </w:pPr>
      <w:r w:rsidRPr="00FA1856">
        <w:rPr>
          <w:rFonts w:asciiTheme="majorHAnsi" w:hAnsiTheme="majorHAnsi"/>
          <w:i/>
        </w:rPr>
        <w:t>skills and behaviours to enable all graduates to be competitive in the</w:t>
      </w:r>
    </w:p>
    <w:p w14:paraId="656D12BB" w14:textId="77777777" w:rsidR="001B1CE2" w:rsidRPr="00FA1856" w:rsidRDefault="00FD2A52" w:rsidP="00290DB0">
      <w:pPr>
        <w:spacing w:after="0" w:line="240" w:lineRule="auto"/>
        <w:ind w:left="360"/>
        <w:jc w:val="center"/>
        <w:rPr>
          <w:rFonts w:asciiTheme="majorHAnsi" w:hAnsiTheme="majorHAnsi"/>
          <w:i/>
        </w:rPr>
      </w:pPr>
      <w:r w:rsidRPr="00FA1856">
        <w:rPr>
          <w:rFonts w:asciiTheme="majorHAnsi" w:hAnsiTheme="majorHAnsi"/>
          <w:i/>
        </w:rPr>
        <w:t>graduate labour market</w:t>
      </w:r>
      <w:r w:rsidR="0032730F">
        <w:rPr>
          <w:rFonts w:asciiTheme="majorHAnsi" w:hAnsiTheme="majorHAnsi"/>
          <w:i/>
        </w:rPr>
        <w:t>. E</w:t>
      </w:r>
      <w:r w:rsidRPr="00FA1856">
        <w:rPr>
          <w:rFonts w:asciiTheme="majorHAnsi" w:hAnsiTheme="majorHAnsi"/>
          <w:i/>
        </w:rPr>
        <w:t>quipping them with the ability and ‘tools’</w:t>
      </w:r>
    </w:p>
    <w:p w14:paraId="2474872F" w14:textId="77777777" w:rsidR="001B1CE2" w:rsidRPr="00FA1856" w:rsidRDefault="00FD2A52" w:rsidP="00290DB0">
      <w:pPr>
        <w:spacing w:after="0" w:line="240" w:lineRule="auto"/>
        <w:ind w:left="360"/>
        <w:jc w:val="center"/>
        <w:rPr>
          <w:rFonts w:asciiTheme="majorHAnsi" w:hAnsiTheme="majorHAnsi"/>
          <w:i/>
        </w:rPr>
      </w:pPr>
      <w:r w:rsidRPr="00FA1856">
        <w:rPr>
          <w:rFonts w:asciiTheme="majorHAnsi" w:hAnsiTheme="majorHAnsi"/>
          <w:i/>
        </w:rPr>
        <w:t xml:space="preserve">to make informed decisions and </w:t>
      </w:r>
      <w:r w:rsidR="001B1CE2" w:rsidRPr="00FA1856">
        <w:rPr>
          <w:rFonts w:asciiTheme="majorHAnsi" w:hAnsiTheme="majorHAnsi"/>
          <w:i/>
        </w:rPr>
        <w:t xml:space="preserve">successfully </w:t>
      </w:r>
      <w:r w:rsidRPr="00FA1856">
        <w:rPr>
          <w:rFonts w:asciiTheme="majorHAnsi" w:hAnsiTheme="majorHAnsi"/>
          <w:i/>
        </w:rPr>
        <w:t>navigate lifelong career</w:t>
      </w:r>
      <w:r w:rsidR="001B1CE2" w:rsidRPr="00FA1856">
        <w:rPr>
          <w:rFonts w:asciiTheme="majorHAnsi" w:hAnsiTheme="majorHAnsi"/>
          <w:i/>
        </w:rPr>
        <w:t xml:space="preserve"> journeys</w:t>
      </w:r>
    </w:p>
    <w:p w14:paraId="2572DFCE" w14:textId="77777777" w:rsidR="00FD2A52" w:rsidRDefault="00FD2A52" w:rsidP="00290DB0">
      <w:pPr>
        <w:spacing w:after="0" w:line="240" w:lineRule="auto"/>
        <w:ind w:left="360"/>
        <w:jc w:val="center"/>
        <w:rPr>
          <w:rFonts w:asciiTheme="majorHAnsi" w:hAnsiTheme="majorHAnsi"/>
          <w:i/>
        </w:rPr>
      </w:pPr>
      <w:r w:rsidRPr="00FA1856">
        <w:rPr>
          <w:rFonts w:asciiTheme="majorHAnsi" w:hAnsiTheme="majorHAnsi"/>
          <w:i/>
        </w:rPr>
        <w:t>(</w:t>
      </w:r>
      <w:r w:rsidR="00E64BA6" w:rsidRPr="00FA1856">
        <w:rPr>
          <w:rFonts w:asciiTheme="majorHAnsi" w:hAnsiTheme="majorHAnsi"/>
          <w:i/>
        </w:rPr>
        <w:t>and</w:t>
      </w:r>
      <w:r w:rsidRPr="00FA1856">
        <w:rPr>
          <w:rFonts w:asciiTheme="majorHAnsi" w:hAnsiTheme="majorHAnsi"/>
          <w:i/>
        </w:rPr>
        <w:t xml:space="preserve"> personal success) as defined by the</w:t>
      </w:r>
      <w:r w:rsidR="006C1E2E">
        <w:rPr>
          <w:rFonts w:asciiTheme="majorHAnsi" w:hAnsiTheme="majorHAnsi"/>
          <w:i/>
        </w:rPr>
        <w:t>m as</w:t>
      </w:r>
      <w:r w:rsidRPr="00FA1856">
        <w:rPr>
          <w:rFonts w:asciiTheme="majorHAnsi" w:hAnsiTheme="majorHAnsi"/>
          <w:i/>
        </w:rPr>
        <w:t xml:space="preserve"> individual</w:t>
      </w:r>
      <w:r w:rsidR="006C1E2E">
        <w:rPr>
          <w:rFonts w:asciiTheme="majorHAnsi" w:hAnsiTheme="majorHAnsi"/>
          <w:i/>
        </w:rPr>
        <w:t>s</w:t>
      </w:r>
      <w:r w:rsidRPr="00FA1856">
        <w:rPr>
          <w:rFonts w:asciiTheme="majorHAnsi" w:hAnsiTheme="majorHAnsi"/>
          <w:i/>
        </w:rPr>
        <w:t>.’</w:t>
      </w:r>
    </w:p>
    <w:p w14:paraId="4300B17C" w14:textId="77777777" w:rsidR="00BF7D95" w:rsidRDefault="00BF7D95" w:rsidP="00FB7207">
      <w:pPr>
        <w:spacing w:after="0" w:line="240" w:lineRule="auto"/>
        <w:ind w:left="360"/>
        <w:rPr>
          <w:rFonts w:asciiTheme="majorHAnsi" w:hAnsiTheme="majorHAnsi"/>
          <w:i/>
        </w:rPr>
      </w:pPr>
    </w:p>
    <w:p w14:paraId="0CA5BF1C" w14:textId="77777777" w:rsidR="00BF7D95" w:rsidRDefault="00BF7D95" w:rsidP="00BF7D95">
      <w:pPr>
        <w:spacing w:after="0" w:line="240" w:lineRule="auto"/>
        <w:jc w:val="both"/>
        <w:rPr>
          <w:rFonts w:asciiTheme="majorHAnsi" w:hAnsiTheme="majorHAnsi"/>
        </w:rPr>
      </w:pPr>
      <w:r w:rsidRPr="00A513E5">
        <w:rPr>
          <w:rFonts w:asciiTheme="majorHAnsi" w:hAnsiTheme="majorHAnsi"/>
        </w:rPr>
        <w:t xml:space="preserve">It is essential to the success of this strategy that all staff have a good </w:t>
      </w:r>
      <w:r w:rsidR="00A513E5" w:rsidRPr="00A513E5">
        <w:rPr>
          <w:rFonts w:asciiTheme="majorHAnsi" w:hAnsiTheme="majorHAnsi"/>
        </w:rPr>
        <w:t>understanding</w:t>
      </w:r>
      <w:r w:rsidRPr="00A513E5">
        <w:rPr>
          <w:rFonts w:asciiTheme="majorHAnsi" w:hAnsiTheme="majorHAnsi"/>
        </w:rPr>
        <w:t xml:space="preserve"> of </w:t>
      </w:r>
      <w:r w:rsidR="00A513E5" w:rsidRPr="00A513E5">
        <w:rPr>
          <w:rFonts w:asciiTheme="majorHAnsi" w:hAnsiTheme="majorHAnsi"/>
        </w:rPr>
        <w:t>employability and what it means for their delivery and support of students</w:t>
      </w:r>
      <w:r w:rsidRPr="00A513E5">
        <w:rPr>
          <w:rFonts w:asciiTheme="majorHAnsi" w:hAnsiTheme="majorHAnsi"/>
        </w:rPr>
        <w:t>.  Taking a lead f</w:t>
      </w:r>
      <w:r w:rsidR="00A83B17">
        <w:rPr>
          <w:rFonts w:asciiTheme="majorHAnsi" w:hAnsiTheme="majorHAnsi"/>
        </w:rPr>
        <w:t>ro</w:t>
      </w:r>
      <w:r w:rsidRPr="00A513E5">
        <w:rPr>
          <w:rFonts w:asciiTheme="majorHAnsi" w:hAnsiTheme="majorHAnsi"/>
        </w:rPr>
        <w:t xml:space="preserve">m this current </w:t>
      </w:r>
      <w:r w:rsidR="00A513E5" w:rsidRPr="00A513E5">
        <w:rPr>
          <w:rFonts w:asciiTheme="majorHAnsi" w:hAnsiTheme="majorHAnsi"/>
        </w:rPr>
        <w:t>definition</w:t>
      </w:r>
      <w:r w:rsidRPr="00A513E5">
        <w:rPr>
          <w:rFonts w:asciiTheme="majorHAnsi" w:hAnsiTheme="majorHAnsi"/>
        </w:rPr>
        <w:t xml:space="preserve">, all staff will be supported by the central </w:t>
      </w:r>
      <w:r w:rsidR="00A513E5" w:rsidRPr="00A513E5">
        <w:rPr>
          <w:rFonts w:asciiTheme="majorHAnsi" w:hAnsiTheme="majorHAnsi"/>
        </w:rPr>
        <w:t>Student</w:t>
      </w:r>
      <w:r w:rsidRPr="00A513E5">
        <w:rPr>
          <w:rFonts w:asciiTheme="majorHAnsi" w:hAnsiTheme="majorHAnsi"/>
        </w:rPr>
        <w:t xml:space="preserve"> </w:t>
      </w:r>
      <w:r w:rsidR="00A513E5" w:rsidRPr="00A513E5">
        <w:rPr>
          <w:rFonts w:asciiTheme="majorHAnsi" w:hAnsiTheme="majorHAnsi"/>
        </w:rPr>
        <w:t>Futures</w:t>
      </w:r>
      <w:r w:rsidRPr="00A513E5">
        <w:rPr>
          <w:rFonts w:asciiTheme="majorHAnsi" w:hAnsiTheme="majorHAnsi"/>
        </w:rPr>
        <w:t xml:space="preserve"> team, who will provide ongoing workshops to </w:t>
      </w:r>
      <w:r w:rsidR="00A513E5" w:rsidRPr="00A513E5">
        <w:rPr>
          <w:rFonts w:asciiTheme="majorHAnsi" w:hAnsiTheme="majorHAnsi"/>
        </w:rPr>
        <w:t xml:space="preserve">discuss current employability trends and implications for us as an institution. </w:t>
      </w:r>
    </w:p>
    <w:p w14:paraId="4DA15F93" w14:textId="77777777" w:rsidR="0030658E" w:rsidRPr="001A2087" w:rsidRDefault="0030658E" w:rsidP="001A2087">
      <w:pPr>
        <w:spacing w:after="0" w:line="240" w:lineRule="auto"/>
        <w:jc w:val="center"/>
        <w:rPr>
          <w:rFonts w:asciiTheme="majorHAnsi" w:hAnsiTheme="majorHAnsi"/>
          <w:b/>
        </w:rPr>
      </w:pPr>
    </w:p>
    <w:p w14:paraId="42DC7267" w14:textId="77777777" w:rsidR="0030658E" w:rsidRPr="001A2087" w:rsidRDefault="0030658E" w:rsidP="001A2087">
      <w:pPr>
        <w:spacing w:after="0" w:line="240" w:lineRule="auto"/>
        <w:jc w:val="center"/>
        <w:rPr>
          <w:rFonts w:asciiTheme="majorHAnsi" w:hAnsiTheme="majorHAnsi"/>
          <w:b/>
          <w:u w:val="single"/>
        </w:rPr>
      </w:pPr>
      <w:r w:rsidRPr="001A2087">
        <w:rPr>
          <w:rFonts w:asciiTheme="majorHAnsi" w:hAnsiTheme="majorHAnsi"/>
          <w:b/>
          <w:u w:val="single"/>
        </w:rPr>
        <w:t>What do we mean by ‘Society 5.0’?</w:t>
      </w:r>
    </w:p>
    <w:p w14:paraId="1E1DB7C1" w14:textId="77777777" w:rsidR="007B512A" w:rsidRDefault="007B512A" w:rsidP="0030658E">
      <w:pPr>
        <w:spacing w:after="0" w:line="240" w:lineRule="auto"/>
        <w:rPr>
          <w:rFonts w:asciiTheme="majorHAnsi" w:hAnsiTheme="majorHAnsi"/>
          <w:u w:val="single"/>
        </w:rPr>
      </w:pPr>
    </w:p>
    <w:p w14:paraId="751F34E3" w14:textId="77777777" w:rsidR="0030658E" w:rsidRDefault="0030658E" w:rsidP="0030658E">
      <w:pPr>
        <w:pStyle w:val="Default"/>
        <w:rPr>
          <w:rFonts w:asciiTheme="majorHAnsi" w:hAnsiTheme="majorHAnsi" w:cstheme="majorHAnsi"/>
          <w:color w:val="212121"/>
          <w:sz w:val="22"/>
          <w:szCs w:val="48"/>
        </w:rPr>
      </w:pPr>
      <w:r w:rsidRPr="0030658E">
        <w:rPr>
          <w:rFonts w:asciiTheme="majorHAnsi" w:hAnsiTheme="majorHAnsi" w:cstheme="majorHAnsi"/>
          <w:color w:val="212121"/>
          <w:sz w:val="22"/>
          <w:szCs w:val="48"/>
        </w:rPr>
        <w:t xml:space="preserve">Society 5.0 </w:t>
      </w:r>
      <w:r>
        <w:rPr>
          <w:rFonts w:asciiTheme="majorHAnsi" w:hAnsiTheme="majorHAnsi" w:cstheme="majorHAnsi"/>
          <w:color w:val="212121"/>
          <w:sz w:val="22"/>
          <w:szCs w:val="48"/>
        </w:rPr>
        <w:t>can be defined a</w:t>
      </w:r>
      <w:r w:rsidRPr="0030658E">
        <w:rPr>
          <w:rFonts w:asciiTheme="majorHAnsi" w:hAnsiTheme="majorHAnsi" w:cstheme="majorHAnsi"/>
          <w:color w:val="212121"/>
          <w:sz w:val="22"/>
          <w:szCs w:val="48"/>
        </w:rPr>
        <w:t xml:space="preserve">s a human-centred society that balances economic and technological advancement to solve society’s problems with super-smart AI data systems. </w:t>
      </w:r>
      <w:r>
        <w:rPr>
          <w:rFonts w:asciiTheme="majorHAnsi" w:hAnsiTheme="majorHAnsi" w:cstheme="majorHAnsi"/>
          <w:color w:val="212121"/>
          <w:sz w:val="22"/>
          <w:szCs w:val="48"/>
        </w:rPr>
        <w:t xml:space="preserve"> </w:t>
      </w:r>
      <w:r w:rsidRPr="0030658E">
        <w:rPr>
          <w:rFonts w:asciiTheme="majorHAnsi" w:hAnsiTheme="majorHAnsi" w:cstheme="majorHAnsi"/>
          <w:color w:val="212121"/>
          <w:sz w:val="22"/>
          <w:szCs w:val="48"/>
        </w:rPr>
        <w:t xml:space="preserve">It represents a new vision for a smarter society where humans, nature and technology create a sustainable balance </w:t>
      </w:r>
      <w:r>
        <w:rPr>
          <w:rFonts w:asciiTheme="majorHAnsi" w:hAnsiTheme="majorHAnsi" w:cstheme="majorHAnsi"/>
          <w:color w:val="212121"/>
          <w:sz w:val="22"/>
          <w:szCs w:val="48"/>
        </w:rPr>
        <w:t xml:space="preserve">which is </w:t>
      </w:r>
      <w:r w:rsidRPr="0030658E">
        <w:rPr>
          <w:rFonts w:asciiTheme="majorHAnsi" w:hAnsiTheme="majorHAnsi" w:cstheme="majorHAnsi"/>
          <w:color w:val="212121"/>
          <w:sz w:val="22"/>
          <w:szCs w:val="48"/>
        </w:rPr>
        <w:t>enhanced by data.</w:t>
      </w:r>
      <w:r>
        <w:rPr>
          <w:rFonts w:asciiTheme="majorHAnsi" w:hAnsiTheme="majorHAnsi" w:cstheme="majorHAnsi"/>
          <w:color w:val="212121"/>
          <w:sz w:val="22"/>
          <w:szCs w:val="48"/>
        </w:rPr>
        <w:t xml:space="preserve">  Consequently, it has become more important that all of our graduates, regardless of discipline, are equipped with the necessary agency, knowledge and skills to progress th</w:t>
      </w:r>
      <w:r w:rsidR="009F238F">
        <w:rPr>
          <w:rFonts w:asciiTheme="majorHAnsi" w:hAnsiTheme="majorHAnsi" w:cstheme="majorHAnsi"/>
          <w:color w:val="212121"/>
          <w:sz w:val="22"/>
          <w:szCs w:val="48"/>
        </w:rPr>
        <w:t>r</w:t>
      </w:r>
      <w:r>
        <w:rPr>
          <w:rFonts w:asciiTheme="majorHAnsi" w:hAnsiTheme="majorHAnsi" w:cstheme="majorHAnsi"/>
          <w:color w:val="212121"/>
          <w:sz w:val="22"/>
          <w:szCs w:val="48"/>
        </w:rPr>
        <w:t>ough rapidly evolving and comple</w:t>
      </w:r>
      <w:r w:rsidR="009F238F">
        <w:rPr>
          <w:rFonts w:asciiTheme="majorHAnsi" w:hAnsiTheme="majorHAnsi" w:cstheme="majorHAnsi"/>
          <w:color w:val="212121"/>
          <w:sz w:val="22"/>
          <w:szCs w:val="48"/>
        </w:rPr>
        <w:t>x</w:t>
      </w:r>
      <w:r w:rsidR="00781617">
        <w:rPr>
          <w:rFonts w:asciiTheme="majorHAnsi" w:hAnsiTheme="majorHAnsi" w:cstheme="majorHAnsi"/>
          <w:color w:val="212121"/>
          <w:sz w:val="22"/>
          <w:szCs w:val="48"/>
        </w:rPr>
        <w:t xml:space="preserve"> and solution focussed labour market.  </w:t>
      </w:r>
    </w:p>
    <w:p w14:paraId="493CD722" w14:textId="77777777" w:rsidR="001A2087" w:rsidRDefault="001A2087" w:rsidP="0030658E">
      <w:pPr>
        <w:pStyle w:val="Default"/>
        <w:rPr>
          <w:rFonts w:asciiTheme="majorHAnsi" w:hAnsiTheme="majorHAnsi" w:cstheme="majorHAnsi"/>
          <w:color w:val="212121"/>
          <w:sz w:val="22"/>
          <w:szCs w:val="48"/>
        </w:rPr>
      </w:pPr>
    </w:p>
    <w:p w14:paraId="3E161821" w14:textId="77777777" w:rsidR="001A2087" w:rsidRDefault="001A2087" w:rsidP="0030658E">
      <w:pPr>
        <w:pStyle w:val="Default"/>
        <w:rPr>
          <w:rFonts w:asciiTheme="majorHAnsi" w:hAnsiTheme="majorHAnsi" w:cstheme="majorHAnsi"/>
          <w:color w:val="212121"/>
          <w:sz w:val="22"/>
          <w:szCs w:val="48"/>
        </w:rPr>
      </w:pPr>
    </w:p>
    <w:p w14:paraId="70A88F97" w14:textId="77777777" w:rsidR="001A2087" w:rsidRDefault="001A2087" w:rsidP="0030658E">
      <w:pPr>
        <w:pStyle w:val="Default"/>
        <w:rPr>
          <w:rFonts w:asciiTheme="majorHAnsi" w:hAnsiTheme="majorHAnsi" w:cstheme="majorHAnsi"/>
          <w:color w:val="212121"/>
          <w:sz w:val="22"/>
          <w:szCs w:val="48"/>
        </w:rPr>
      </w:pPr>
    </w:p>
    <w:p w14:paraId="0D997963" w14:textId="77777777" w:rsidR="001A2087" w:rsidRDefault="001A2087" w:rsidP="0030658E">
      <w:pPr>
        <w:pStyle w:val="Default"/>
        <w:rPr>
          <w:rFonts w:asciiTheme="majorHAnsi" w:hAnsiTheme="majorHAnsi" w:cstheme="majorHAnsi"/>
          <w:color w:val="212121"/>
          <w:sz w:val="22"/>
          <w:szCs w:val="48"/>
        </w:rPr>
      </w:pPr>
    </w:p>
    <w:p w14:paraId="53D2833C" w14:textId="77777777" w:rsidR="002E6974" w:rsidRDefault="002E6974" w:rsidP="0030658E">
      <w:pPr>
        <w:pStyle w:val="Default"/>
        <w:rPr>
          <w:rFonts w:asciiTheme="majorHAnsi" w:hAnsiTheme="majorHAnsi" w:cstheme="majorHAnsi"/>
          <w:color w:val="212121"/>
          <w:sz w:val="22"/>
          <w:szCs w:val="48"/>
        </w:rPr>
      </w:pPr>
    </w:p>
    <w:p w14:paraId="4E017E72" w14:textId="77777777" w:rsidR="002E6974" w:rsidRDefault="002E6974" w:rsidP="0030658E">
      <w:pPr>
        <w:pStyle w:val="Default"/>
        <w:rPr>
          <w:rFonts w:asciiTheme="majorHAnsi" w:hAnsiTheme="majorHAnsi" w:cstheme="majorHAnsi"/>
          <w:color w:val="212121"/>
          <w:sz w:val="22"/>
          <w:szCs w:val="48"/>
        </w:rPr>
      </w:pPr>
    </w:p>
    <w:p w14:paraId="2A5CB99A" w14:textId="77777777" w:rsidR="002E6974" w:rsidRDefault="002E6974" w:rsidP="0030658E">
      <w:pPr>
        <w:pStyle w:val="Default"/>
        <w:rPr>
          <w:rFonts w:asciiTheme="majorHAnsi" w:hAnsiTheme="majorHAnsi" w:cstheme="majorHAnsi"/>
          <w:color w:val="212121"/>
          <w:sz w:val="22"/>
          <w:szCs w:val="48"/>
        </w:rPr>
      </w:pPr>
    </w:p>
    <w:p w14:paraId="424908C9" w14:textId="77777777" w:rsidR="001A2087" w:rsidRPr="0030658E" w:rsidRDefault="001A2087" w:rsidP="0030658E">
      <w:pPr>
        <w:pStyle w:val="Default"/>
        <w:rPr>
          <w:rFonts w:asciiTheme="majorHAnsi" w:hAnsiTheme="majorHAnsi" w:cstheme="majorHAnsi"/>
          <w:color w:val="212121"/>
          <w:sz w:val="22"/>
          <w:szCs w:val="48"/>
        </w:rPr>
      </w:pPr>
    </w:p>
    <w:p w14:paraId="06E2D792" w14:textId="77777777" w:rsidR="0030658E" w:rsidRPr="0030658E" w:rsidRDefault="0030658E" w:rsidP="0030658E">
      <w:pPr>
        <w:spacing w:after="0" w:line="240" w:lineRule="auto"/>
        <w:rPr>
          <w:rFonts w:asciiTheme="majorHAnsi" w:hAnsiTheme="majorHAnsi" w:cstheme="majorHAnsi"/>
          <w:color w:val="212121"/>
          <w:szCs w:val="48"/>
        </w:rPr>
      </w:pPr>
    </w:p>
    <w:p w14:paraId="4774B9A1" w14:textId="77777777" w:rsidR="004D78BC" w:rsidRPr="001A2087" w:rsidRDefault="004D78BC" w:rsidP="001A2087">
      <w:pPr>
        <w:spacing w:after="0" w:line="240" w:lineRule="auto"/>
        <w:jc w:val="center"/>
        <w:rPr>
          <w:rFonts w:asciiTheme="majorHAnsi" w:hAnsiTheme="majorHAnsi"/>
          <w:b/>
          <w:u w:val="single"/>
        </w:rPr>
      </w:pPr>
      <w:r w:rsidRPr="001A2087">
        <w:rPr>
          <w:rFonts w:asciiTheme="majorHAnsi" w:hAnsiTheme="majorHAnsi"/>
          <w:b/>
          <w:u w:val="single"/>
        </w:rPr>
        <w:lastRenderedPageBreak/>
        <w:t xml:space="preserve">Strategic </w:t>
      </w:r>
      <w:r w:rsidR="00D76C53" w:rsidRPr="001A2087">
        <w:rPr>
          <w:rFonts w:asciiTheme="majorHAnsi" w:hAnsiTheme="majorHAnsi"/>
          <w:b/>
          <w:u w:val="single"/>
        </w:rPr>
        <w:t xml:space="preserve">Areas: </w:t>
      </w:r>
      <w:r w:rsidRPr="001A2087">
        <w:rPr>
          <w:rFonts w:asciiTheme="majorHAnsi" w:hAnsiTheme="majorHAnsi"/>
          <w:b/>
          <w:u w:val="single"/>
        </w:rPr>
        <w:t>Aim</w:t>
      </w:r>
      <w:r w:rsidR="00E0651A" w:rsidRPr="001A2087">
        <w:rPr>
          <w:rFonts w:asciiTheme="majorHAnsi" w:hAnsiTheme="majorHAnsi"/>
          <w:b/>
          <w:u w:val="single"/>
        </w:rPr>
        <w:t>s</w:t>
      </w:r>
      <w:r w:rsidR="00445905" w:rsidRPr="001A2087">
        <w:rPr>
          <w:rFonts w:asciiTheme="majorHAnsi" w:hAnsiTheme="majorHAnsi"/>
          <w:b/>
          <w:u w:val="single"/>
        </w:rPr>
        <w:t xml:space="preserve"> and </w:t>
      </w:r>
      <w:r w:rsidR="00D76C53" w:rsidRPr="001A2087">
        <w:rPr>
          <w:rFonts w:asciiTheme="majorHAnsi" w:hAnsiTheme="majorHAnsi"/>
          <w:b/>
          <w:u w:val="single"/>
        </w:rPr>
        <w:t>I</w:t>
      </w:r>
      <w:r w:rsidR="002C357F" w:rsidRPr="001A2087">
        <w:rPr>
          <w:rFonts w:asciiTheme="majorHAnsi" w:hAnsiTheme="majorHAnsi"/>
          <w:b/>
          <w:u w:val="single"/>
        </w:rPr>
        <w:t>ntent</w:t>
      </w:r>
    </w:p>
    <w:p w14:paraId="64023B2A" w14:textId="77777777" w:rsidR="004D78BC" w:rsidRPr="00FA1856" w:rsidRDefault="004D78BC" w:rsidP="004D78BC">
      <w:pPr>
        <w:pStyle w:val="ListParagraph"/>
        <w:spacing w:after="0" w:line="240" w:lineRule="auto"/>
        <w:rPr>
          <w:rFonts w:asciiTheme="majorHAnsi" w:hAnsiTheme="majorHAnsi"/>
        </w:rPr>
      </w:pPr>
    </w:p>
    <w:p w14:paraId="44A4A6C1" w14:textId="77777777" w:rsidR="00D5789B" w:rsidRPr="00D5789B" w:rsidRDefault="00F423B1" w:rsidP="00F10243">
      <w:pPr>
        <w:spacing w:after="0" w:line="240" w:lineRule="auto"/>
        <w:rPr>
          <w:rFonts w:asciiTheme="majorHAnsi" w:hAnsiTheme="majorHAnsi"/>
          <w:b/>
          <w:i/>
        </w:rPr>
      </w:pPr>
      <w:r>
        <w:rPr>
          <w:rFonts w:asciiTheme="majorHAnsi" w:hAnsiTheme="majorHAnsi"/>
          <w:b/>
          <w:i/>
        </w:rPr>
        <w:t>Enhancing e</w:t>
      </w:r>
      <w:r w:rsidR="00D5789B">
        <w:rPr>
          <w:rFonts w:asciiTheme="majorHAnsi" w:hAnsiTheme="majorHAnsi"/>
          <w:b/>
          <w:i/>
        </w:rPr>
        <w:t xml:space="preserve">mployer </w:t>
      </w:r>
      <w:r w:rsidR="00275EC7">
        <w:rPr>
          <w:rFonts w:asciiTheme="majorHAnsi" w:hAnsiTheme="majorHAnsi"/>
          <w:b/>
          <w:i/>
        </w:rPr>
        <w:t xml:space="preserve">and </w:t>
      </w:r>
      <w:r>
        <w:rPr>
          <w:rFonts w:asciiTheme="majorHAnsi" w:hAnsiTheme="majorHAnsi"/>
          <w:b/>
          <w:i/>
        </w:rPr>
        <w:t>p</w:t>
      </w:r>
      <w:r w:rsidR="00275EC7">
        <w:rPr>
          <w:rFonts w:asciiTheme="majorHAnsi" w:hAnsiTheme="majorHAnsi"/>
          <w:b/>
          <w:i/>
        </w:rPr>
        <w:t>artner</w:t>
      </w:r>
      <w:r>
        <w:rPr>
          <w:rFonts w:asciiTheme="majorHAnsi" w:hAnsiTheme="majorHAnsi"/>
          <w:b/>
          <w:i/>
        </w:rPr>
        <w:t xml:space="preserve"> collaborations</w:t>
      </w:r>
      <w:r w:rsidR="00D5789B">
        <w:rPr>
          <w:rFonts w:asciiTheme="majorHAnsi" w:hAnsiTheme="majorHAnsi"/>
          <w:b/>
          <w:i/>
        </w:rPr>
        <w:t>:</w:t>
      </w:r>
    </w:p>
    <w:p w14:paraId="7B9E148C" w14:textId="77777777" w:rsidR="004D78BC" w:rsidRPr="002C357F" w:rsidRDefault="00BB0371" w:rsidP="00F10243">
      <w:pPr>
        <w:spacing w:after="0" w:line="240" w:lineRule="auto"/>
        <w:rPr>
          <w:rFonts w:asciiTheme="majorHAnsi" w:hAnsiTheme="majorHAnsi"/>
          <w:i/>
        </w:rPr>
      </w:pPr>
      <w:r w:rsidRPr="002C357F">
        <w:rPr>
          <w:rFonts w:asciiTheme="majorHAnsi" w:hAnsiTheme="majorHAnsi"/>
          <w:i/>
        </w:rPr>
        <w:t xml:space="preserve">To </w:t>
      </w:r>
      <w:r w:rsidR="00F423B1" w:rsidRPr="002C357F">
        <w:rPr>
          <w:rFonts w:asciiTheme="majorHAnsi" w:hAnsiTheme="majorHAnsi"/>
          <w:i/>
        </w:rPr>
        <w:t xml:space="preserve">continue to </w:t>
      </w:r>
      <w:r w:rsidRPr="002C357F">
        <w:rPr>
          <w:rFonts w:asciiTheme="majorHAnsi" w:hAnsiTheme="majorHAnsi"/>
          <w:i/>
        </w:rPr>
        <w:t xml:space="preserve">develop </w:t>
      </w:r>
      <w:r w:rsidR="00D90999" w:rsidRPr="002C357F">
        <w:rPr>
          <w:rFonts w:asciiTheme="majorHAnsi" w:hAnsiTheme="majorHAnsi"/>
          <w:i/>
        </w:rPr>
        <w:t xml:space="preserve">a broad range of </w:t>
      </w:r>
      <w:r w:rsidRPr="002C357F">
        <w:rPr>
          <w:rFonts w:asciiTheme="majorHAnsi" w:hAnsiTheme="majorHAnsi"/>
          <w:i/>
        </w:rPr>
        <w:t xml:space="preserve">sector </w:t>
      </w:r>
      <w:r w:rsidR="00275EC7" w:rsidRPr="002C357F">
        <w:rPr>
          <w:rFonts w:asciiTheme="majorHAnsi" w:hAnsiTheme="majorHAnsi"/>
          <w:i/>
        </w:rPr>
        <w:t xml:space="preserve">(HE) </w:t>
      </w:r>
      <w:r w:rsidRPr="002C357F">
        <w:rPr>
          <w:rFonts w:asciiTheme="majorHAnsi" w:hAnsiTheme="majorHAnsi"/>
          <w:i/>
        </w:rPr>
        <w:t>leading e</w:t>
      </w:r>
      <w:r w:rsidR="004D78BC" w:rsidRPr="002C357F">
        <w:rPr>
          <w:rFonts w:asciiTheme="majorHAnsi" w:hAnsiTheme="majorHAnsi"/>
          <w:i/>
        </w:rPr>
        <w:t xml:space="preserve">mployer </w:t>
      </w:r>
      <w:r w:rsidR="00B34E5E" w:rsidRPr="002C357F">
        <w:rPr>
          <w:rFonts w:asciiTheme="majorHAnsi" w:hAnsiTheme="majorHAnsi"/>
          <w:i/>
        </w:rPr>
        <w:t>and partner collaboration</w:t>
      </w:r>
      <w:r w:rsidR="002F6750" w:rsidRPr="002C357F">
        <w:rPr>
          <w:rFonts w:asciiTheme="majorHAnsi" w:hAnsiTheme="majorHAnsi"/>
          <w:i/>
        </w:rPr>
        <w:t>s</w:t>
      </w:r>
      <w:r w:rsidR="00F423B1" w:rsidRPr="002C357F">
        <w:rPr>
          <w:rFonts w:asciiTheme="majorHAnsi" w:hAnsiTheme="majorHAnsi"/>
          <w:i/>
        </w:rPr>
        <w:t>. W</w:t>
      </w:r>
      <w:r w:rsidR="002B2898" w:rsidRPr="002C357F">
        <w:rPr>
          <w:rFonts w:asciiTheme="majorHAnsi" w:hAnsiTheme="majorHAnsi"/>
          <w:i/>
        </w:rPr>
        <w:t xml:space="preserve">ith the purpose of </w:t>
      </w:r>
      <w:r w:rsidR="00445905" w:rsidRPr="002C357F">
        <w:rPr>
          <w:rFonts w:asciiTheme="majorHAnsi" w:hAnsiTheme="majorHAnsi"/>
          <w:i/>
        </w:rPr>
        <w:t xml:space="preserve">enhancing </w:t>
      </w:r>
      <w:r w:rsidRPr="002C357F">
        <w:rPr>
          <w:rFonts w:asciiTheme="majorHAnsi" w:hAnsiTheme="majorHAnsi"/>
          <w:i/>
        </w:rPr>
        <w:t>the personal, professional</w:t>
      </w:r>
      <w:r w:rsidR="00D90999" w:rsidRPr="002C357F">
        <w:rPr>
          <w:rFonts w:asciiTheme="majorHAnsi" w:hAnsiTheme="majorHAnsi"/>
          <w:i/>
        </w:rPr>
        <w:t xml:space="preserve"> </w:t>
      </w:r>
      <w:r w:rsidR="007E25C0" w:rsidRPr="002C357F">
        <w:rPr>
          <w:rFonts w:asciiTheme="majorHAnsi" w:hAnsiTheme="majorHAnsi"/>
          <w:i/>
        </w:rPr>
        <w:t xml:space="preserve">development </w:t>
      </w:r>
      <w:r w:rsidRPr="002C357F">
        <w:rPr>
          <w:rFonts w:asciiTheme="majorHAnsi" w:hAnsiTheme="majorHAnsi"/>
          <w:i/>
        </w:rPr>
        <w:t>and career readiness of our graduates</w:t>
      </w:r>
      <w:r w:rsidR="00275EC7" w:rsidRPr="002C357F">
        <w:rPr>
          <w:rFonts w:asciiTheme="majorHAnsi" w:hAnsiTheme="majorHAnsi"/>
          <w:i/>
        </w:rPr>
        <w:t xml:space="preserve"> and therefore meet</w:t>
      </w:r>
      <w:r w:rsidR="002F6750" w:rsidRPr="002C357F">
        <w:rPr>
          <w:rFonts w:asciiTheme="majorHAnsi" w:hAnsiTheme="majorHAnsi"/>
          <w:i/>
        </w:rPr>
        <w:t>ing</w:t>
      </w:r>
      <w:r w:rsidR="00275EC7" w:rsidRPr="002C357F">
        <w:rPr>
          <w:rFonts w:asciiTheme="majorHAnsi" w:hAnsiTheme="majorHAnsi"/>
          <w:i/>
        </w:rPr>
        <w:t xml:space="preserve"> future workforce needs</w:t>
      </w:r>
      <w:r w:rsidRPr="002C357F">
        <w:rPr>
          <w:rFonts w:asciiTheme="majorHAnsi" w:hAnsiTheme="majorHAnsi"/>
          <w:i/>
        </w:rPr>
        <w:t>.</w:t>
      </w:r>
      <w:r w:rsidR="00275EC7" w:rsidRPr="002C357F">
        <w:rPr>
          <w:rFonts w:asciiTheme="majorHAnsi" w:hAnsiTheme="majorHAnsi"/>
          <w:i/>
        </w:rPr>
        <w:t xml:space="preserve"> </w:t>
      </w:r>
    </w:p>
    <w:p w14:paraId="7A874846" w14:textId="77777777" w:rsidR="003E070F" w:rsidRPr="00FA1856" w:rsidRDefault="003E070F" w:rsidP="003E070F">
      <w:pPr>
        <w:spacing w:after="0" w:line="240" w:lineRule="auto"/>
        <w:jc w:val="both"/>
        <w:rPr>
          <w:rFonts w:asciiTheme="majorHAnsi" w:hAnsiTheme="majorHAnsi"/>
        </w:rPr>
      </w:pPr>
    </w:p>
    <w:p w14:paraId="32ECAABA" w14:textId="77777777" w:rsidR="00E64BA6" w:rsidRPr="00FA1856" w:rsidRDefault="00E0651A" w:rsidP="009243E2">
      <w:pPr>
        <w:spacing w:after="0" w:line="240" w:lineRule="auto"/>
        <w:rPr>
          <w:rFonts w:asciiTheme="majorHAnsi" w:hAnsiTheme="majorHAnsi"/>
        </w:rPr>
      </w:pPr>
      <w:r w:rsidRPr="00FA1856">
        <w:rPr>
          <w:rFonts w:asciiTheme="majorHAnsi" w:hAnsiTheme="majorHAnsi"/>
        </w:rPr>
        <w:t>We</w:t>
      </w:r>
      <w:r w:rsidR="001B398D" w:rsidRPr="00FA1856">
        <w:rPr>
          <w:rFonts w:asciiTheme="majorHAnsi" w:hAnsiTheme="majorHAnsi"/>
        </w:rPr>
        <w:t xml:space="preserve"> will </w:t>
      </w:r>
      <w:r w:rsidRPr="00FA1856">
        <w:rPr>
          <w:rFonts w:asciiTheme="majorHAnsi" w:hAnsiTheme="majorHAnsi"/>
        </w:rPr>
        <w:t>do this by:</w:t>
      </w:r>
    </w:p>
    <w:p w14:paraId="3C5E80CE" w14:textId="77777777" w:rsidR="00E64BA6" w:rsidRPr="00FA1856" w:rsidRDefault="00E64BA6" w:rsidP="00591165">
      <w:pPr>
        <w:pStyle w:val="ListParagraph"/>
        <w:numPr>
          <w:ilvl w:val="0"/>
          <w:numId w:val="9"/>
        </w:numPr>
        <w:spacing w:after="0" w:line="240" w:lineRule="auto"/>
        <w:rPr>
          <w:rFonts w:asciiTheme="majorHAnsi" w:hAnsiTheme="majorHAnsi"/>
        </w:rPr>
      </w:pPr>
      <w:r w:rsidRPr="00FA1856">
        <w:rPr>
          <w:rFonts w:asciiTheme="majorHAnsi" w:hAnsiTheme="majorHAnsi"/>
        </w:rPr>
        <w:t>Continuing to engage with stakeholders (including the Local Enterprise Partnership</w:t>
      </w:r>
      <w:r w:rsidR="00275EC7">
        <w:rPr>
          <w:rFonts w:asciiTheme="majorHAnsi" w:hAnsiTheme="majorHAnsi"/>
        </w:rPr>
        <w:t>, NHS Trusts</w:t>
      </w:r>
      <w:r w:rsidRPr="00FA1856">
        <w:rPr>
          <w:rFonts w:asciiTheme="majorHAnsi" w:hAnsiTheme="majorHAnsi"/>
        </w:rPr>
        <w:t xml:space="preserve"> and local authorities) and employers to ensure course design, </w:t>
      </w:r>
      <w:r w:rsidR="002B2898" w:rsidRPr="00FA1856">
        <w:rPr>
          <w:rFonts w:asciiTheme="majorHAnsi" w:hAnsiTheme="majorHAnsi"/>
        </w:rPr>
        <w:t xml:space="preserve">delivery </w:t>
      </w:r>
      <w:r w:rsidRPr="00FA1856">
        <w:rPr>
          <w:rFonts w:asciiTheme="majorHAnsi" w:hAnsiTheme="majorHAnsi"/>
        </w:rPr>
        <w:t>and</w:t>
      </w:r>
      <w:r w:rsidR="00327818" w:rsidRPr="00FA1856">
        <w:rPr>
          <w:rFonts w:asciiTheme="majorHAnsi" w:hAnsiTheme="majorHAnsi"/>
        </w:rPr>
        <w:t xml:space="preserve"> outcomes </w:t>
      </w:r>
      <w:r w:rsidRPr="00FA1856">
        <w:rPr>
          <w:rFonts w:asciiTheme="majorHAnsi" w:hAnsiTheme="majorHAnsi"/>
        </w:rPr>
        <w:t xml:space="preserve">continue to maintain their currency and </w:t>
      </w:r>
      <w:r w:rsidR="00327818" w:rsidRPr="00FA1856">
        <w:rPr>
          <w:rFonts w:asciiTheme="majorHAnsi" w:hAnsiTheme="majorHAnsi"/>
        </w:rPr>
        <w:t>relevance</w:t>
      </w:r>
      <w:r w:rsidRPr="00FA1856">
        <w:rPr>
          <w:rFonts w:asciiTheme="majorHAnsi" w:hAnsiTheme="majorHAnsi"/>
        </w:rPr>
        <w:t xml:space="preserve"> to </w:t>
      </w:r>
      <w:r w:rsidR="00327818" w:rsidRPr="00FA1856">
        <w:rPr>
          <w:rFonts w:asciiTheme="majorHAnsi" w:hAnsiTheme="majorHAnsi"/>
        </w:rPr>
        <w:t>industry</w:t>
      </w:r>
      <w:r w:rsidR="00275EC7">
        <w:rPr>
          <w:rFonts w:asciiTheme="majorHAnsi" w:hAnsiTheme="majorHAnsi"/>
        </w:rPr>
        <w:t>; ensuring future workforce needs are analysed and reflected in our provision</w:t>
      </w:r>
      <w:r w:rsidRPr="00FA1856">
        <w:rPr>
          <w:rFonts w:asciiTheme="majorHAnsi" w:hAnsiTheme="majorHAnsi"/>
        </w:rPr>
        <w:t xml:space="preserve">. </w:t>
      </w:r>
    </w:p>
    <w:p w14:paraId="10803382" w14:textId="77777777" w:rsidR="00E64BA6" w:rsidRPr="00FA1856" w:rsidRDefault="00E64BA6" w:rsidP="00E64BA6">
      <w:pPr>
        <w:pStyle w:val="ListParagraph"/>
        <w:numPr>
          <w:ilvl w:val="0"/>
          <w:numId w:val="9"/>
        </w:numPr>
        <w:spacing w:after="0" w:line="240" w:lineRule="auto"/>
        <w:rPr>
          <w:rFonts w:asciiTheme="majorHAnsi" w:hAnsiTheme="majorHAnsi"/>
        </w:rPr>
      </w:pPr>
      <w:r w:rsidRPr="00FA1856">
        <w:rPr>
          <w:rFonts w:asciiTheme="majorHAnsi" w:hAnsiTheme="majorHAnsi"/>
        </w:rPr>
        <w:t xml:space="preserve">Ensuring all </w:t>
      </w:r>
      <w:r w:rsidR="006C1E2E">
        <w:rPr>
          <w:rFonts w:asciiTheme="majorHAnsi" w:hAnsiTheme="majorHAnsi"/>
        </w:rPr>
        <w:t xml:space="preserve">students have the opportunity </w:t>
      </w:r>
      <w:r w:rsidRPr="00FA1856">
        <w:rPr>
          <w:rFonts w:asciiTheme="majorHAnsi" w:hAnsiTheme="majorHAnsi"/>
        </w:rPr>
        <w:t>to undertake a period of work-based learning (placement</w:t>
      </w:r>
      <w:r w:rsidR="001523AB">
        <w:rPr>
          <w:rFonts w:asciiTheme="majorHAnsi" w:hAnsiTheme="majorHAnsi"/>
        </w:rPr>
        <w:t>s</w:t>
      </w:r>
      <w:r w:rsidR="00327818" w:rsidRPr="00FA1856">
        <w:rPr>
          <w:rFonts w:asciiTheme="majorHAnsi" w:hAnsiTheme="majorHAnsi"/>
        </w:rPr>
        <w:t>- whi</w:t>
      </w:r>
      <w:r w:rsidRPr="00FA1856">
        <w:rPr>
          <w:rFonts w:asciiTheme="majorHAnsi" w:hAnsiTheme="majorHAnsi"/>
        </w:rPr>
        <w:t>ch include</w:t>
      </w:r>
      <w:r w:rsidR="00327818" w:rsidRPr="00FA1856">
        <w:rPr>
          <w:rFonts w:asciiTheme="majorHAnsi" w:hAnsiTheme="majorHAnsi"/>
        </w:rPr>
        <w:t>s</w:t>
      </w:r>
      <w:r w:rsidRPr="00FA1856">
        <w:rPr>
          <w:rFonts w:asciiTheme="majorHAnsi" w:hAnsiTheme="majorHAnsi"/>
        </w:rPr>
        <w:t xml:space="preserve"> </w:t>
      </w:r>
      <w:r w:rsidR="006C1E2E">
        <w:rPr>
          <w:rFonts w:asciiTheme="majorHAnsi" w:hAnsiTheme="majorHAnsi"/>
        </w:rPr>
        <w:t xml:space="preserve">international opportunities, </w:t>
      </w:r>
      <w:r w:rsidRPr="00FA1856">
        <w:rPr>
          <w:rFonts w:asciiTheme="majorHAnsi" w:hAnsiTheme="majorHAnsi"/>
        </w:rPr>
        <w:t>yearlong industry experiences and shorter, bespoke placements and internship opportunities</w:t>
      </w:r>
      <w:r w:rsidR="00327818" w:rsidRPr="00FA1856">
        <w:rPr>
          <w:rFonts w:asciiTheme="majorHAnsi" w:hAnsiTheme="majorHAnsi"/>
        </w:rPr>
        <w:t>)</w:t>
      </w:r>
      <w:r w:rsidR="00045A3E">
        <w:rPr>
          <w:rFonts w:asciiTheme="majorHAnsi" w:hAnsiTheme="majorHAnsi"/>
        </w:rPr>
        <w:t xml:space="preserve"> throughout the duration of their programme of study</w:t>
      </w:r>
      <w:r w:rsidRPr="00FA1856">
        <w:rPr>
          <w:rFonts w:asciiTheme="majorHAnsi" w:hAnsiTheme="majorHAnsi"/>
        </w:rPr>
        <w:t xml:space="preserve">. </w:t>
      </w:r>
    </w:p>
    <w:p w14:paraId="2144BF72" w14:textId="77777777" w:rsidR="00E64BA6" w:rsidRDefault="00E64BA6" w:rsidP="00E64BA6">
      <w:pPr>
        <w:pStyle w:val="ListParagraph"/>
        <w:numPr>
          <w:ilvl w:val="0"/>
          <w:numId w:val="9"/>
        </w:numPr>
        <w:spacing w:after="0" w:line="240" w:lineRule="auto"/>
        <w:rPr>
          <w:rFonts w:asciiTheme="majorHAnsi" w:hAnsiTheme="majorHAnsi"/>
        </w:rPr>
      </w:pPr>
      <w:r w:rsidRPr="00FA1856">
        <w:rPr>
          <w:rFonts w:asciiTheme="majorHAnsi" w:hAnsiTheme="majorHAnsi"/>
        </w:rPr>
        <w:t>Ensuring all programmes of study include multiple oppor</w:t>
      </w:r>
      <w:r w:rsidR="00327818" w:rsidRPr="00FA1856">
        <w:rPr>
          <w:rFonts w:asciiTheme="majorHAnsi" w:hAnsiTheme="majorHAnsi"/>
        </w:rPr>
        <w:t>tunities</w:t>
      </w:r>
      <w:r w:rsidRPr="00FA1856">
        <w:rPr>
          <w:rFonts w:asciiTheme="majorHAnsi" w:hAnsiTheme="majorHAnsi"/>
        </w:rPr>
        <w:t xml:space="preserve"> to </w:t>
      </w:r>
      <w:r w:rsidR="00327818" w:rsidRPr="00FA1856">
        <w:rPr>
          <w:rFonts w:asciiTheme="majorHAnsi" w:hAnsiTheme="majorHAnsi"/>
        </w:rPr>
        <w:t>engage</w:t>
      </w:r>
      <w:r w:rsidRPr="00FA1856">
        <w:rPr>
          <w:rFonts w:asciiTheme="majorHAnsi" w:hAnsiTheme="majorHAnsi"/>
        </w:rPr>
        <w:t xml:space="preserve"> with local, regional and national employers; through project setting, insight events</w:t>
      </w:r>
      <w:r w:rsidR="00327818" w:rsidRPr="00FA1856">
        <w:rPr>
          <w:rFonts w:asciiTheme="majorHAnsi" w:hAnsiTheme="majorHAnsi"/>
        </w:rPr>
        <w:t xml:space="preserve"> and collaborative provision delivery</w:t>
      </w:r>
      <w:r w:rsidR="001A2087">
        <w:rPr>
          <w:rFonts w:asciiTheme="majorHAnsi" w:hAnsiTheme="majorHAnsi"/>
        </w:rPr>
        <w:t xml:space="preserve">; thus, </w:t>
      </w:r>
      <w:r w:rsidR="00045A3E">
        <w:rPr>
          <w:rFonts w:asciiTheme="majorHAnsi" w:hAnsiTheme="majorHAnsi"/>
        </w:rPr>
        <w:t>develop</w:t>
      </w:r>
      <w:r w:rsidR="001A2087">
        <w:rPr>
          <w:rFonts w:asciiTheme="majorHAnsi" w:hAnsiTheme="majorHAnsi"/>
        </w:rPr>
        <w:t>ing</w:t>
      </w:r>
      <w:r w:rsidR="00045A3E">
        <w:rPr>
          <w:rFonts w:asciiTheme="majorHAnsi" w:hAnsiTheme="majorHAnsi"/>
        </w:rPr>
        <w:t xml:space="preserve"> critical </w:t>
      </w:r>
      <w:r w:rsidR="005B16B4">
        <w:rPr>
          <w:rFonts w:asciiTheme="majorHAnsi" w:hAnsiTheme="majorHAnsi"/>
        </w:rPr>
        <w:t xml:space="preserve">Knowledge Exchange </w:t>
      </w:r>
      <w:r w:rsidR="00045A3E">
        <w:rPr>
          <w:rFonts w:asciiTheme="majorHAnsi" w:hAnsiTheme="majorHAnsi"/>
        </w:rPr>
        <w:t>skills.</w:t>
      </w:r>
    </w:p>
    <w:p w14:paraId="65713B40" w14:textId="77777777" w:rsidR="00EA6194" w:rsidRPr="00EA6194" w:rsidRDefault="00290DB0" w:rsidP="00EA6194">
      <w:pPr>
        <w:pStyle w:val="ListParagraph"/>
        <w:numPr>
          <w:ilvl w:val="0"/>
          <w:numId w:val="9"/>
        </w:numPr>
        <w:spacing w:after="0" w:line="240" w:lineRule="auto"/>
        <w:rPr>
          <w:rFonts w:asciiTheme="majorHAnsi" w:hAnsiTheme="majorHAnsi"/>
        </w:rPr>
      </w:pPr>
      <w:r>
        <w:rPr>
          <w:rFonts w:asciiTheme="majorHAnsi" w:hAnsiTheme="majorHAnsi"/>
        </w:rPr>
        <w:t xml:space="preserve">Maximising existing and new employer partnerships to leverage opportunities for students and graduates to undertake a period of </w:t>
      </w:r>
      <w:r w:rsidR="001B6BB1">
        <w:rPr>
          <w:rFonts w:asciiTheme="majorHAnsi" w:hAnsiTheme="majorHAnsi"/>
        </w:rPr>
        <w:t>work-based</w:t>
      </w:r>
      <w:r>
        <w:rPr>
          <w:rFonts w:asciiTheme="majorHAnsi" w:hAnsiTheme="majorHAnsi"/>
        </w:rPr>
        <w:t xml:space="preserve"> learning outside of their programme of study (vacation internships</w:t>
      </w:r>
      <w:r w:rsidR="001B6BB1">
        <w:rPr>
          <w:rFonts w:asciiTheme="majorHAnsi" w:hAnsiTheme="majorHAnsi"/>
        </w:rPr>
        <w:t>, volunteering</w:t>
      </w:r>
      <w:r>
        <w:rPr>
          <w:rFonts w:asciiTheme="majorHAnsi" w:hAnsiTheme="majorHAnsi"/>
        </w:rPr>
        <w:t xml:space="preserve"> etc.)</w:t>
      </w:r>
      <w:r w:rsidR="001A2087">
        <w:rPr>
          <w:rFonts w:asciiTheme="majorHAnsi" w:hAnsiTheme="majorHAnsi"/>
        </w:rPr>
        <w:t>.</w:t>
      </w:r>
    </w:p>
    <w:p w14:paraId="43FAE0FD" w14:textId="77777777" w:rsidR="00410539" w:rsidRDefault="00410539" w:rsidP="00410539">
      <w:pPr>
        <w:pStyle w:val="ListParagraph"/>
        <w:numPr>
          <w:ilvl w:val="0"/>
          <w:numId w:val="9"/>
        </w:numPr>
        <w:spacing w:after="0" w:line="240" w:lineRule="auto"/>
        <w:rPr>
          <w:rFonts w:asciiTheme="majorHAnsi" w:hAnsiTheme="majorHAnsi"/>
        </w:rPr>
      </w:pPr>
      <w:r w:rsidRPr="00FA1856">
        <w:rPr>
          <w:rFonts w:asciiTheme="majorHAnsi" w:hAnsiTheme="majorHAnsi"/>
        </w:rPr>
        <w:t xml:space="preserve">Continuing to seek </w:t>
      </w:r>
      <w:r w:rsidR="001A2087">
        <w:rPr>
          <w:rFonts w:asciiTheme="majorHAnsi" w:hAnsiTheme="majorHAnsi"/>
        </w:rPr>
        <w:t>and explore</w:t>
      </w:r>
      <w:r w:rsidRPr="00FA1856">
        <w:rPr>
          <w:rFonts w:asciiTheme="majorHAnsi" w:hAnsiTheme="majorHAnsi"/>
        </w:rPr>
        <w:t xml:space="preserve"> external funding opportunities to engage with and support regional employers; with a view to leveraging that support to develop work-based learning opportunities for students and graduates. </w:t>
      </w:r>
    </w:p>
    <w:p w14:paraId="0A96227B" w14:textId="77777777" w:rsidR="001B6BB1" w:rsidRPr="00FA1856" w:rsidRDefault="004809D2" w:rsidP="00410539">
      <w:pPr>
        <w:pStyle w:val="ListParagraph"/>
        <w:numPr>
          <w:ilvl w:val="0"/>
          <w:numId w:val="9"/>
        </w:numPr>
        <w:spacing w:after="0" w:line="240" w:lineRule="auto"/>
        <w:rPr>
          <w:rFonts w:asciiTheme="majorHAnsi" w:hAnsiTheme="majorHAnsi"/>
        </w:rPr>
      </w:pPr>
      <w:r>
        <w:rPr>
          <w:rFonts w:asciiTheme="majorHAnsi" w:hAnsiTheme="majorHAnsi"/>
        </w:rPr>
        <w:t>Working</w:t>
      </w:r>
      <w:r w:rsidR="001B6BB1">
        <w:rPr>
          <w:rFonts w:asciiTheme="majorHAnsi" w:hAnsiTheme="majorHAnsi"/>
        </w:rPr>
        <w:t xml:space="preserve"> in part</w:t>
      </w:r>
      <w:r>
        <w:rPr>
          <w:rFonts w:asciiTheme="majorHAnsi" w:hAnsiTheme="majorHAnsi"/>
        </w:rPr>
        <w:t>nership</w:t>
      </w:r>
      <w:r w:rsidR="001B6BB1">
        <w:rPr>
          <w:rFonts w:asciiTheme="majorHAnsi" w:hAnsiTheme="majorHAnsi"/>
        </w:rPr>
        <w:t xml:space="preserve"> with colleagues from HUSU </w:t>
      </w:r>
      <w:r w:rsidR="001A2087">
        <w:rPr>
          <w:rFonts w:asciiTheme="majorHAnsi" w:hAnsiTheme="majorHAnsi"/>
        </w:rPr>
        <w:t xml:space="preserve">and local authorities </w:t>
      </w:r>
      <w:r w:rsidR="001B6BB1">
        <w:rPr>
          <w:rFonts w:asciiTheme="majorHAnsi" w:hAnsiTheme="majorHAnsi"/>
        </w:rPr>
        <w:t xml:space="preserve">to </w:t>
      </w:r>
      <w:r>
        <w:rPr>
          <w:rFonts w:asciiTheme="majorHAnsi" w:hAnsiTheme="majorHAnsi"/>
        </w:rPr>
        <w:t>consolidate and develop the coordination of existing volunteering and ‘casual’ jobs processes;</w:t>
      </w:r>
      <w:r w:rsidR="00B34E5E">
        <w:rPr>
          <w:rFonts w:asciiTheme="majorHAnsi" w:hAnsiTheme="majorHAnsi"/>
        </w:rPr>
        <w:t xml:space="preserve"> therefore, increasing</w:t>
      </w:r>
      <w:r>
        <w:rPr>
          <w:rFonts w:asciiTheme="majorHAnsi" w:hAnsiTheme="majorHAnsi"/>
        </w:rPr>
        <w:t xml:space="preserve"> opportunities for </w:t>
      </w:r>
      <w:r w:rsidR="006C1E2E">
        <w:rPr>
          <w:rFonts w:asciiTheme="majorHAnsi" w:hAnsiTheme="majorHAnsi"/>
        </w:rPr>
        <w:t xml:space="preserve">part time work for </w:t>
      </w:r>
      <w:r>
        <w:rPr>
          <w:rFonts w:asciiTheme="majorHAnsi" w:hAnsiTheme="majorHAnsi"/>
        </w:rPr>
        <w:t>students and graduate</w:t>
      </w:r>
      <w:r w:rsidR="00B34E5E">
        <w:rPr>
          <w:rFonts w:asciiTheme="majorHAnsi" w:hAnsiTheme="majorHAnsi"/>
        </w:rPr>
        <w:t>s.</w:t>
      </w:r>
    </w:p>
    <w:p w14:paraId="3CB5709F" w14:textId="77777777" w:rsidR="00E64BA6" w:rsidRPr="00FA1856" w:rsidRDefault="0019307A" w:rsidP="00E64BA6">
      <w:pPr>
        <w:pStyle w:val="ListParagraph"/>
        <w:numPr>
          <w:ilvl w:val="0"/>
          <w:numId w:val="9"/>
        </w:numPr>
        <w:spacing w:after="0" w:line="240" w:lineRule="auto"/>
        <w:rPr>
          <w:rFonts w:asciiTheme="majorHAnsi" w:hAnsiTheme="majorHAnsi"/>
        </w:rPr>
      </w:pPr>
      <w:r w:rsidRPr="00FA1856">
        <w:rPr>
          <w:rFonts w:asciiTheme="majorHAnsi" w:hAnsiTheme="majorHAnsi"/>
        </w:rPr>
        <w:t>Developing</w:t>
      </w:r>
      <w:r w:rsidR="00327818" w:rsidRPr="00FA1856">
        <w:rPr>
          <w:rFonts w:asciiTheme="majorHAnsi" w:hAnsiTheme="majorHAnsi"/>
        </w:rPr>
        <w:t xml:space="preserve"> </w:t>
      </w:r>
      <w:r w:rsidR="00B34E5E">
        <w:rPr>
          <w:rFonts w:asciiTheme="majorHAnsi" w:hAnsiTheme="majorHAnsi"/>
        </w:rPr>
        <w:t>an institution wide Client Relationship Management (CRM) system</w:t>
      </w:r>
      <w:r w:rsidR="00327818" w:rsidRPr="00FA1856">
        <w:rPr>
          <w:rFonts w:asciiTheme="majorHAnsi" w:hAnsiTheme="majorHAnsi"/>
        </w:rPr>
        <w:t xml:space="preserve"> and processes to </w:t>
      </w:r>
      <w:r w:rsidRPr="00FA1856">
        <w:rPr>
          <w:rFonts w:asciiTheme="majorHAnsi" w:hAnsiTheme="majorHAnsi"/>
        </w:rPr>
        <w:t>aid</w:t>
      </w:r>
      <w:r w:rsidR="00327818" w:rsidRPr="00FA1856">
        <w:rPr>
          <w:rFonts w:asciiTheme="majorHAnsi" w:hAnsiTheme="majorHAnsi"/>
        </w:rPr>
        <w:t xml:space="preserve"> </w:t>
      </w:r>
      <w:r w:rsidR="00B34E5E">
        <w:rPr>
          <w:rFonts w:asciiTheme="majorHAnsi" w:hAnsiTheme="majorHAnsi"/>
        </w:rPr>
        <w:t>accurate, efficient and coherent</w:t>
      </w:r>
      <w:r w:rsidR="00327818" w:rsidRPr="00FA1856">
        <w:rPr>
          <w:rFonts w:asciiTheme="majorHAnsi" w:hAnsiTheme="majorHAnsi"/>
        </w:rPr>
        <w:t xml:space="preserve"> management of employer</w:t>
      </w:r>
      <w:r w:rsidR="00B34E5E">
        <w:rPr>
          <w:rFonts w:asciiTheme="majorHAnsi" w:hAnsiTheme="majorHAnsi"/>
        </w:rPr>
        <w:t xml:space="preserve"> and partner</w:t>
      </w:r>
      <w:r w:rsidR="00327818" w:rsidRPr="00FA1856">
        <w:rPr>
          <w:rFonts w:asciiTheme="majorHAnsi" w:hAnsiTheme="majorHAnsi"/>
        </w:rPr>
        <w:t xml:space="preserve"> relationships</w:t>
      </w:r>
      <w:r w:rsidR="001A2087">
        <w:rPr>
          <w:rFonts w:asciiTheme="majorHAnsi" w:hAnsiTheme="majorHAnsi"/>
        </w:rPr>
        <w:t>.</w:t>
      </w:r>
    </w:p>
    <w:p w14:paraId="17AE567C" w14:textId="77777777" w:rsidR="00275EC7" w:rsidRPr="00FA1856" w:rsidRDefault="00275EC7" w:rsidP="00E64BA6">
      <w:pPr>
        <w:pStyle w:val="ListParagraph"/>
        <w:numPr>
          <w:ilvl w:val="0"/>
          <w:numId w:val="9"/>
        </w:numPr>
        <w:spacing w:after="0" w:line="240" w:lineRule="auto"/>
        <w:rPr>
          <w:rFonts w:asciiTheme="majorHAnsi" w:hAnsiTheme="majorHAnsi"/>
        </w:rPr>
      </w:pPr>
      <w:r>
        <w:rPr>
          <w:rFonts w:asciiTheme="majorHAnsi" w:hAnsiTheme="majorHAnsi"/>
        </w:rPr>
        <w:t xml:space="preserve">Continue to regularly communicate and work with Alumnus to identify and strengthen links with industries, sectors and employers (of all sizes). </w:t>
      </w:r>
    </w:p>
    <w:p w14:paraId="16389AE8" w14:textId="77777777" w:rsidR="00445905" w:rsidRPr="00FA1856" w:rsidRDefault="00445905" w:rsidP="00445905">
      <w:pPr>
        <w:pStyle w:val="ListParagraph"/>
        <w:spacing w:after="0" w:line="240" w:lineRule="auto"/>
        <w:rPr>
          <w:rFonts w:asciiTheme="majorHAnsi" w:hAnsiTheme="majorHAnsi"/>
        </w:rPr>
      </w:pPr>
    </w:p>
    <w:p w14:paraId="149B712E" w14:textId="77777777" w:rsidR="00D5789B" w:rsidRPr="00D5789B" w:rsidRDefault="00F423B1" w:rsidP="00D5789B">
      <w:pPr>
        <w:spacing w:after="0" w:line="240" w:lineRule="auto"/>
        <w:rPr>
          <w:rFonts w:asciiTheme="majorHAnsi" w:hAnsiTheme="majorHAnsi"/>
          <w:b/>
          <w:i/>
        </w:rPr>
      </w:pPr>
      <w:bookmarkStart w:id="2" w:name="_Hlk83372585"/>
      <w:r>
        <w:rPr>
          <w:rFonts w:asciiTheme="majorHAnsi" w:hAnsiTheme="majorHAnsi"/>
          <w:b/>
          <w:i/>
        </w:rPr>
        <w:t>Enhancing o</w:t>
      </w:r>
      <w:r w:rsidR="00D5789B" w:rsidRPr="00D5789B">
        <w:rPr>
          <w:rFonts w:asciiTheme="majorHAnsi" w:hAnsiTheme="majorHAnsi"/>
          <w:b/>
          <w:i/>
        </w:rPr>
        <w:t>n-programme</w:t>
      </w:r>
      <w:r>
        <w:rPr>
          <w:rFonts w:asciiTheme="majorHAnsi" w:hAnsiTheme="majorHAnsi"/>
          <w:b/>
          <w:i/>
        </w:rPr>
        <w:t xml:space="preserve"> delivery</w:t>
      </w:r>
      <w:r w:rsidR="00D5789B" w:rsidRPr="00D5789B">
        <w:rPr>
          <w:rFonts w:asciiTheme="majorHAnsi" w:hAnsiTheme="majorHAnsi"/>
          <w:b/>
          <w:i/>
        </w:rPr>
        <w:t>:</w:t>
      </w:r>
      <w:bookmarkEnd w:id="2"/>
    </w:p>
    <w:p w14:paraId="2A519C59" w14:textId="77777777" w:rsidR="00F10243" w:rsidRPr="002C357F" w:rsidRDefault="00BB0371" w:rsidP="00D5789B">
      <w:pPr>
        <w:spacing w:after="0" w:line="240" w:lineRule="auto"/>
        <w:rPr>
          <w:rFonts w:asciiTheme="majorHAnsi" w:hAnsiTheme="majorHAnsi"/>
          <w:i/>
        </w:rPr>
      </w:pPr>
      <w:r w:rsidRPr="002C357F">
        <w:rPr>
          <w:rFonts w:asciiTheme="majorHAnsi" w:hAnsiTheme="majorHAnsi"/>
          <w:i/>
        </w:rPr>
        <w:t xml:space="preserve">To </w:t>
      </w:r>
      <w:r w:rsidR="00D30544" w:rsidRPr="002C357F">
        <w:rPr>
          <w:rFonts w:asciiTheme="majorHAnsi" w:hAnsiTheme="majorHAnsi"/>
          <w:i/>
        </w:rPr>
        <w:t xml:space="preserve">continue to </w:t>
      </w:r>
      <w:r w:rsidRPr="002C357F">
        <w:rPr>
          <w:rFonts w:asciiTheme="majorHAnsi" w:hAnsiTheme="majorHAnsi"/>
          <w:i/>
        </w:rPr>
        <w:t>enhance</w:t>
      </w:r>
      <w:r w:rsidR="009243E2" w:rsidRPr="002C357F">
        <w:rPr>
          <w:rFonts w:asciiTheme="majorHAnsi" w:hAnsiTheme="majorHAnsi"/>
          <w:i/>
        </w:rPr>
        <w:t xml:space="preserve">, innovate and </w:t>
      </w:r>
      <w:r w:rsidRPr="002C357F">
        <w:rPr>
          <w:rFonts w:asciiTheme="majorHAnsi" w:hAnsiTheme="majorHAnsi"/>
          <w:i/>
        </w:rPr>
        <w:t>develop our academic portfolio into sector leading provision</w:t>
      </w:r>
      <w:r w:rsidR="00D30544" w:rsidRPr="002C357F">
        <w:rPr>
          <w:rFonts w:asciiTheme="majorHAnsi" w:hAnsiTheme="majorHAnsi"/>
          <w:i/>
        </w:rPr>
        <w:t>,</w:t>
      </w:r>
      <w:r w:rsidRPr="002C357F">
        <w:rPr>
          <w:rFonts w:asciiTheme="majorHAnsi" w:hAnsiTheme="majorHAnsi"/>
          <w:i/>
        </w:rPr>
        <w:t xml:space="preserve"> which is </w:t>
      </w:r>
      <w:r w:rsidR="001B398D" w:rsidRPr="002C357F">
        <w:rPr>
          <w:rFonts w:asciiTheme="majorHAnsi" w:hAnsiTheme="majorHAnsi"/>
          <w:i/>
        </w:rPr>
        <w:t>centred</w:t>
      </w:r>
      <w:r w:rsidRPr="002C357F">
        <w:rPr>
          <w:rFonts w:asciiTheme="majorHAnsi" w:hAnsiTheme="majorHAnsi"/>
          <w:i/>
        </w:rPr>
        <w:t xml:space="preserve"> on </w:t>
      </w:r>
      <w:r w:rsidR="002B2898" w:rsidRPr="002C357F">
        <w:rPr>
          <w:rFonts w:asciiTheme="majorHAnsi" w:hAnsiTheme="majorHAnsi"/>
          <w:i/>
        </w:rPr>
        <w:t xml:space="preserve">a </w:t>
      </w:r>
      <w:r w:rsidR="001B398D" w:rsidRPr="002C357F">
        <w:rPr>
          <w:rFonts w:asciiTheme="majorHAnsi" w:hAnsiTheme="majorHAnsi"/>
          <w:i/>
        </w:rPr>
        <w:t>competency-based</w:t>
      </w:r>
      <w:r w:rsidR="00D90999" w:rsidRPr="002C357F">
        <w:rPr>
          <w:rFonts w:asciiTheme="majorHAnsi" w:hAnsiTheme="majorHAnsi"/>
          <w:i/>
        </w:rPr>
        <w:t xml:space="preserve"> approach</w:t>
      </w:r>
      <w:r w:rsidRPr="002C357F">
        <w:rPr>
          <w:rFonts w:asciiTheme="majorHAnsi" w:hAnsiTheme="majorHAnsi"/>
          <w:i/>
        </w:rPr>
        <w:t xml:space="preserve"> and places the employability of students </w:t>
      </w:r>
      <w:r w:rsidR="001B398D" w:rsidRPr="002C357F">
        <w:rPr>
          <w:rFonts w:asciiTheme="majorHAnsi" w:hAnsiTheme="majorHAnsi"/>
          <w:i/>
        </w:rPr>
        <w:t xml:space="preserve">and graduates </w:t>
      </w:r>
      <w:r w:rsidRPr="002C357F">
        <w:rPr>
          <w:rFonts w:asciiTheme="majorHAnsi" w:hAnsiTheme="majorHAnsi"/>
          <w:i/>
        </w:rPr>
        <w:t>at its core</w:t>
      </w:r>
    </w:p>
    <w:p w14:paraId="17E7C35F" w14:textId="77777777" w:rsidR="00D5789B" w:rsidRPr="00D5789B" w:rsidRDefault="00D5789B" w:rsidP="00D5789B">
      <w:pPr>
        <w:spacing w:after="0" w:line="240" w:lineRule="auto"/>
        <w:rPr>
          <w:rFonts w:asciiTheme="majorHAnsi" w:hAnsiTheme="majorHAnsi"/>
          <w:i/>
        </w:rPr>
      </w:pPr>
    </w:p>
    <w:p w14:paraId="313EE077" w14:textId="77777777" w:rsidR="00B543E2" w:rsidRPr="00045A3E" w:rsidRDefault="00E0651A" w:rsidP="00045A3E">
      <w:pPr>
        <w:rPr>
          <w:rFonts w:asciiTheme="majorHAnsi" w:hAnsiTheme="majorHAnsi"/>
          <w:b/>
        </w:rPr>
      </w:pPr>
      <w:r w:rsidRPr="00FA1856">
        <w:rPr>
          <w:rFonts w:asciiTheme="majorHAnsi" w:hAnsiTheme="majorHAnsi"/>
        </w:rPr>
        <w:t>We</w:t>
      </w:r>
      <w:r w:rsidR="001B398D" w:rsidRPr="00FA1856">
        <w:rPr>
          <w:rFonts w:asciiTheme="majorHAnsi" w:hAnsiTheme="majorHAnsi"/>
        </w:rPr>
        <w:t xml:space="preserve"> will</w:t>
      </w:r>
      <w:r w:rsidRPr="00FA1856">
        <w:rPr>
          <w:rFonts w:asciiTheme="majorHAnsi" w:hAnsiTheme="majorHAnsi"/>
        </w:rPr>
        <w:t xml:space="preserve"> do this by:</w:t>
      </w:r>
    </w:p>
    <w:p w14:paraId="5435FD9C" w14:textId="77777777" w:rsidR="00045A3E" w:rsidRDefault="00D90999" w:rsidP="00045A3E">
      <w:pPr>
        <w:pStyle w:val="ListParagraph"/>
        <w:numPr>
          <w:ilvl w:val="0"/>
          <w:numId w:val="10"/>
        </w:numPr>
        <w:rPr>
          <w:rFonts w:asciiTheme="majorHAnsi" w:hAnsiTheme="majorHAnsi"/>
        </w:rPr>
      </w:pPr>
      <w:r w:rsidRPr="00FA1856">
        <w:rPr>
          <w:rFonts w:asciiTheme="majorHAnsi" w:hAnsiTheme="majorHAnsi"/>
        </w:rPr>
        <w:t>Ensuring e</w:t>
      </w:r>
      <w:r w:rsidR="008A41A7" w:rsidRPr="00FA1856">
        <w:rPr>
          <w:rFonts w:asciiTheme="majorHAnsi" w:hAnsiTheme="majorHAnsi"/>
        </w:rPr>
        <w:t xml:space="preserve">mployability and the development of both generic and industry relevant skills, attributes and behaviours is seen as high profile and </w:t>
      </w:r>
      <w:r w:rsidR="001A2087">
        <w:rPr>
          <w:rFonts w:asciiTheme="majorHAnsi" w:hAnsiTheme="majorHAnsi"/>
        </w:rPr>
        <w:t xml:space="preserve">are </w:t>
      </w:r>
      <w:r w:rsidR="008A41A7" w:rsidRPr="00FA1856">
        <w:rPr>
          <w:rFonts w:asciiTheme="majorHAnsi" w:hAnsiTheme="majorHAnsi"/>
        </w:rPr>
        <w:t>visible across all programmes of study</w:t>
      </w:r>
    </w:p>
    <w:p w14:paraId="364F3558" w14:textId="77777777" w:rsidR="006C1E2E" w:rsidRPr="00045A3E" w:rsidRDefault="00045A3E" w:rsidP="00045A3E">
      <w:pPr>
        <w:pStyle w:val="ListParagraph"/>
        <w:numPr>
          <w:ilvl w:val="0"/>
          <w:numId w:val="10"/>
        </w:numPr>
        <w:rPr>
          <w:rFonts w:asciiTheme="majorHAnsi" w:hAnsiTheme="majorHAnsi"/>
        </w:rPr>
      </w:pPr>
      <w:r>
        <w:rPr>
          <w:rFonts w:asciiTheme="majorHAnsi" w:hAnsiTheme="majorHAnsi"/>
        </w:rPr>
        <w:t>E</w:t>
      </w:r>
      <w:r w:rsidR="009000C6" w:rsidRPr="00045A3E">
        <w:rPr>
          <w:rFonts w:asciiTheme="majorHAnsi" w:hAnsiTheme="majorHAnsi"/>
        </w:rPr>
        <w:t>nsur</w:t>
      </w:r>
      <w:r w:rsidR="008C7988" w:rsidRPr="00045A3E">
        <w:rPr>
          <w:rFonts w:asciiTheme="majorHAnsi" w:hAnsiTheme="majorHAnsi"/>
        </w:rPr>
        <w:t>ing</w:t>
      </w:r>
      <w:r w:rsidR="009000C6" w:rsidRPr="00045A3E">
        <w:rPr>
          <w:rFonts w:asciiTheme="majorHAnsi" w:hAnsiTheme="majorHAnsi"/>
        </w:rPr>
        <w:t xml:space="preserve"> links between academic </w:t>
      </w:r>
      <w:r w:rsidR="009243E2" w:rsidRPr="00045A3E">
        <w:rPr>
          <w:rFonts w:asciiTheme="majorHAnsi" w:hAnsiTheme="majorHAnsi"/>
        </w:rPr>
        <w:t>learning</w:t>
      </w:r>
      <w:r w:rsidR="007E25C0" w:rsidRPr="00045A3E">
        <w:rPr>
          <w:rFonts w:asciiTheme="majorHAnsi" w:hAnsiTheme="majorHAnsi"/>
        </w:rPr>
        <w:t xml:space="preserve"> and </w:t>
      </w:r>
      <w:r w:rsidR="009243E2" w:rsidRPr="00045A3E">
        <w:rPr>
          <w:rFonts w:asciiTheme="majorHAnsi" w:hAnsiTheme="majorHAnsi"/>
        </w:rPr>
        <w:t xml:space="preserve">employability development </w:t>
      </w:r>
      <w:r w:rsidR="00301EC7" w:rsidRPr="00045A3E">
        <w:rPr>
          <w:rFonts w:asciiTheme="majorHAnsi" w:hAnsiTheme="majorHAnsi"/>
        </w:rPr>
        <w:t>(and/or indicative industry skills)</w:t>
      </w:r>
      <w:r w:rsidR="00F423B1" w:rsidRPr="00045A3E">
        <w:rPr>
          <w:rFonts w:asciiTheme="majorHAnsi" w:hAnsiTheme="majorHAnsi"/>
        </w:rPr>
        <w:t>,</w:t>
      </w:r>
      <w:r w:rsidR="00301EC7" w:rsidRPr="00045A3E">
        <w:rPr>
          <w:rFonts w:asciiTheme="majorHAnsi" w:hAnsiTheme="majorHAnsi"/>
        </w:rPr>
        <w:t xml:space="preserve"> </w:t>
      </w:r>
      <w:r w:rsidR="009000C6" w:rsidRPr="00045A3E">
        <w:rPr>
          <w:rFonts w:asciiTheme="majorHAnsi" w:hAnsiTheme="majorHAnsi"/>
        </w:rPr>
        <w:t xml:space="preserve">are made </w:t>
      </w:r>
      <w:r w:rsidR="009243E2" w:rsidRPr="00045A3E">
        <w:rPr>
          <w:rFonts w:asciiTheme="majorHAnsi" w:hAnsiTheme="majorHAnsi"/>
        </w:rPr>
        <w:t>explicit across all programmes of study</w:t>
      </w:r>
      <w:r w:rsidR="00053E8B" w:rsidRPr="00045A3E">
        <w:rPr>
          <w:rFonts w:asciiTheme="majorHAnsi" w:hAnsiTheme="majorHAnsi"/>
        </w:rPr>
        <w:t xml:space="preserve"> (</w:t>
      </w:r>
      <w:r w:rsidR="00B543E2" w:rsidRPr="00045A3E">
        <w:rPr>
          <w:rFonts w:asciiTheme="majorHAnsi" w:hAnsiTheme="majorHAnsi"/>
        </w:rPr>
        <w:t>e.g.</w:t>
      </w:r>
      <w:r w:rsidR="007E25C0" w:rsidRPr="00045A3E">
        <w:rPr>
          <w:rFonts w:asciiTheme="majorHAnsi" w:hAnsiTheme="majorHAnsi"/>
        </w:rPr>
        <w:t xml:space="preserve"> </w:t>
      </w:r>
      <w:r w:rsidR="00053E8B" w:rsidRPr="00045A3E">
        <w:rPr>
          <w:rFonts w:asciiTheme="majorHAnsi" w:hAnsiTheme="majorHAnsi"/>
        </w:rPr>
        <w:t>Knowledge Exchange skills)</w:t>
      </w:r>
      <w:r w:rsidR="00B543E2" w:rsidRPr="00045A3E">
        <w:rPr>
          <w:rFonts w:asciiTheme="majorHAnsi" w:hAnsiTheme="majorHAnsi"/>
        </w:rPr>
        <w:t>.</w:t>
      </w:r>
      <w:r w:rsidR="00903AFC" w:rsidRPr="00903AFC">
        <w:t xml:space="preserve"> </w:t>
      </w:r>
      <w:r w:rsidR="006C1E2E">
        <w:t xml:space="preserve"> </w:t>
      </w:r>
    </w:p>
    <w:p w14:paraId="17BE4B7C" w14:textId="77777777" w:rsidR="00045A3E" w:rsidRPr="00045A3E" w:rsidRDefault="00045A3E" w:rsidP="00045A3E">
      <w:pPr>
        <w:pStyle w:val="ListParagraph"/>
        <w:numPr>
          <w:ilvl w:val="0"/>
          <w:numId w:val="10"/>
        </w:numPr>
        <w:rPr>
          <w:rFonts w:asciiTheme="majorHAnsi" w:hAnsiTheme="majorHAnsi"/>
        </w:rPr>
      </w:pPr>
      <w:r>
        <w:rPr>
          <w:rFonts w:asciiTheme="majorHAnsi" w:hAnsiTheme="majorHAnsi"/>
        </w:rPr>
        <w:t xml:space="preserve">Consistently linking the relevance </w:t>
      </w:r>
      <w:r w:rsidR="00A949CD">
        <w:rPr>
          <w:rFonts w:asciiTheme="majorHAnsi" w:hAnsiTheme="majorHAnsi"/>
        </w:rPr>
        <w:t>o</w:t>
      </w:r>
      <w:r>
        <w:rPr>
          <w:rFonts w:asciiTheme="majorHAnsi" w:hAnsiTheme="majorHAnsi"/>
        </w:rPr>
        <w:t>f academic digital literacies</w:t>
      </w:r>
      <w:r w:rsidR="001A2087">
        <w:rPr>
          <w:rFonts w:asciiTheme="majorHAnsi" w:hAnsiTheme="majorHAnsi"/>
        </w:rPr>
        <w:t xml:space="preserve"> skills</w:t>
      </w:r>
      <w:r>
        <w:rPr>
          <w:rFonts w:asciiTheme="majorHAnsi" w:hAnsiTheme="majorHAnsi"/>
        </w:rPr>
        <w:t xml:space="preserve">, gained through </w:t>
      </w:r>
      <w:r w:rsidR="00020174">
        <w:rPr>
          <w:rFonts w:asciiTheme="majorHAnsi" w:hAnsiTheme="majorHAnsi"/>
        </w:rPr>
        <w:t>academic learning</w:t>
      </w:r>
      <w:r>
        <w:rPr>
          <w:rFonts w:asciiTheme="majorHAnsi" w:hAnsiTheme="majorHAnsi"/>
        </w:rPr>
        <w:t>, with career management, progression and employability.</w:t>
      </w:r>
    </w:p>
    <w:p w14:paraId="7A6297B4" w14:textId="77777777" w:rsidR="006C1E2E" w:rsidRDefault="006C1E2E" w:rsidP="006C1E2E">
      <w:pPr>
        <w:pStyle w:val="ListParagraph"/>
        <w:numPr>
          <w:ilvl w:val="0"/>
          <w:numId w:val="10"/>
        </w:numPr>
        <w:rPr>
          <w:rFonts w:asciiTheme="majorHAnsi" w:hAnsiTheme="majorHAnsi"/>
        </w:rPr>
      </w:pPr>
      <w:r w:rsidRPr="006C1E2E">
        <w:rPr>
          <w:rFonts w:asciiTheme="majorHAnsi" w:hAnsiTheme="majorHAnsi"/>
        </w:rPr>
        <w:lastRenderedPageBreak/>
        <w:t>Ensuring professionally focused assessment design within programmes</w:t>
      </w:r>
      <w:r w:rsidR="00A949CD">
        <w:rPr>
          <w:rFonts w:asciiTheme="majorHAnsi" w:hAnsiTheme="majorHAnsi"/>
        </w:rPr>
        <w:t>,</w:t>
      </w:r>
      <w:r w:rsidRPr="006C1E2E">
        <w:rPr>
          <w:rFonts w:asciiTheme="majorHAnsi" w:hAnsiTheme="majorHAnsi"/>
        </w:rPr>
        <w:t xml:space="preserve"> from which specific workplace roles do not naturally extend, </w:t>
      </w:r>
      <w:r w:rsidR="00045A3E">
        <w:rPr>
          <w:rFonts w:asciiTheme="majorHAnsi" w:hAnsiTheme="majorHAnsi"/>
        </w:rPr>
        <w:t>e.g.</w:t>
      </w:r>
      <w:r w:rsidRPr="006C1E2E">
        <w:rPr>
          <w:rFonts w:asciiTheme="majorHAnsi" w:hAnsiTheme="majorHAnsi"/>
        </w:rPr>
        <w:t xml:space="preserve"> philosophy, mathematics, </w:t>
      </w:r>
      <w:r w:rsidR="00045A3E">
        <w:rPr>
          <w:rFonts w:asciiTheme="majorHAnsi" w:hAnsiTheme="majorHAnsi"/>
        </w:rPr>
        <w:t>history or</w:t>
      </w:r>
      <w:r w:rsidRPr="006C1E2E">
        <w:rPr>
          <w:rFonts w:asciiTheme="majorHAnsi" w:hAnsiTheme="majorHAnsi"/>
        </w:rPr>
        <w:t xml:space="preserve"> literature</w:t>
      </w:r>
      <w:r>
        <w:rPr>
          <w:rFonts w:asciiTheme="majorHAnsi" w:hAnsiTheme="majorHAnsi"/>
        </w:rPr>
        <w:t xml:space="preserve"> (A</w:t>
      </w:r>
      <w:r w:rsidR="00045A3E">
        <w:rPr>
          <w:rFonts w:asciiTheme="majorHAnsi" w:hAnsiTheme="majorHAnsi"/>
        </w:rPr>
        <w:t xml:space="preserve">dvanced </w:t>
      </w:r>
      <w:r>
        <w:rPr>
          <w:rFonts w:asciiTheme="majorHAnsi" w:hAnsiTheme="majorHAnsi"/>
        </w:rPr>
        <w:t>HE, 2021)</w:t>
      </w:r>
      <w:r w:rsidRPr="006C1E2E">
        <w:rPr>
          <w:rFonts w:asciiTheme="majorHAnsi" w:hAnsiTheme="majorHAnsi"/>
        </w:rPr>
        <w:t>.</w:t>
      </w:r>
    </w:p>
    <w:p w14:paraId="3362D56B" w14:textId="77777777" w:rsidR="009000C6" w:rsidRPr="006C1E2E" w:rsidRDefault="006C1E2E" w:rsidP="006C1E2E">
      <w:pPr>
        <w:pStyle w:val="ListParagraph"/>
        <w:numPr>
          <w:ilvl w:val="0"/>
          <w:numId w:val="10"/>
        </w:numPr>
        <w:rPr>
          <w:rFonts w:asciiTheme="majorHAnsi" w:hAnsiTheme="majorHAnsi"/>
        </w:rPr>
      </w:pPr>
      <w:r w:rsidRPr="006C1E2E">
        <w:rPr>
          <w:rFonts w:asciiTheme="majorHAnsi" w:hAnsiTheme="majorHAnsi"/>
        </w:rPr>
        <w:t xml:space="preserve">Ensuring programmes of study </w:t>
      </w:r>
      <w:r w:rsidR="00903AFC" w:rsidRPr="006C1E2E">
        <w:rPr>
          <w:rFonts w:asciiTheme="majorHAnsi" w:hAnsiTheme="majorHAnsi"/>
        </w:rPr>
        <w:t xml:space="preserve">effectively accommodate </w:t>
      </w:r>
      <w:r w:rsidRPr="006C1E2E">
        <w:rPr>
          <w:rFonts w:asciiTheme="majorHAnsi" w:hAnsiTheme="majorHAnsi"/>
        </w:rPr>
        <w:t xml:space="preserve">wider </w:t>
      </w:r>
      <w:r w:rsidR="00903AFC" w:rsidRPr="006C1E2E">
        <w:rPr>
          <w:rFonts w:asciiTheme="majorHAnsi" w:hAnsiTheme="majorHAnsi"/>
        </w:rPr>
        <w:t>professional development interests of students</w:t>
      </w:r>
      <w:r w:rsidRPr="006C1E2E">
        <w:rPr>
          <w:rFonts w:asciiTheme="majorHAnsi" w:hAnsiTheme="majorHAnsi"/>
        </w:rPr>
        <w:t xml:space="preserve"> </w:t>
      </w:r>
      <w:r w:rsidR="00903AFC" w:rsidRPr="006C1E2E">
        <w:rPr>
          <w:rFonts w:asciiTheme="majorHAnsi" w:hAnsiTheme="majorHAnsi"/>
        </w:rPr>
        <w:t>who wish to consider roles alternative to those which may ‘naturally extend’</w:t>
      </w:r>
      <w:r>
        <w:rPr>
          <w:rFonts w:asciiTheme="majorHAnsi" w:hAnsiTheme="majorHAnsi"/>
        </w:rPr>
        <w:t xml:space="preserve"> (A</w:t>
      </w:r>
      <w:r w:rsidR="00846636">
        <w:rPr>
          <w:rFonts w:asciiTheme="majorHAnsi" w:hAnsiTheme="majorHAnsi"/>
        </w:rPr>
        <w:t xml:space="preserve">dvanced </w:t>
      </w:r>
      <w:r>
        <w:rPr>
          <w:rFonts w:asciiTheme="majorHAnsi" w:hAnsiTheme="majorHAnsi"/>
        </w:rPr>
        <w:t xml:space="preserve">HE, 2021). </w:t>
      </w:r>
    </w:p>
    <w:p w14:paraId="71A23B9D" w14:textId="77777777" w:rsidR="00F2088C" w:rsidRDefault="009243E2" w:rsidP="00F2088C">
      <w:pPr>
        <w:pStyle w:val="ListParagraph"/>
        <w:numPr>
          <w:ilvl w:val="0"/>
          <w:numId w:val="10"/>
        </w:numPr>
        <w:rPr>
          <w:rFonts w:asciiTheme="majorHAnsi" w:hAnsiTheme="majorHAnsi"/>
        </w:rPr>
      </w:pPr>
      <w:r w:rsidRPr="00FA1856">
        <w:rPr>
          <w:rFonts w:asciiTheme="majorHAnsi" w:hAnsiTheme="majorHAnsi"/>
        </w:rPr>
        <w:t>Guaranteeing</w:t>
      </w:r>
      <w:r w:rsidR="008A41A7" w:rsidRPr="00FA1856">
        <w:rPr>
          <w:rFonts w:asciiTheme="majorHAnsi" w:hAnsiTheme="majorHAnsi"/>
        </w:rPr>
        <w:t xml:space="preserve"> ‘authentic assessments’ </w:t>
      </w:r>
      <w:r w:rsidR="00182706" w:rsidRPr="00FA1856">
        <w:rPr>
          <w:rFonts w:asciiTheme="majorHAnsi" w:hAnsiTheme="majorHAnsi"/>
        </w:rPr>
        <w:t xml:space="preserve">(real world task/practice in context) </w:t>
      </w:r>
      <w:r w:rsidR="008A41A7" w:rsidRPr="00FA1856">
        <w:rPr>
          <w:rFonts w:asciiTheme="majorHAnsi" w:hAnsiTheme="majorHAnsi"/>
        </w:rPr>
        <w:t xml:space="preserve">are routinely and consistently embedded across all programmes of study and are utilised as a key part of module </w:t>
      </w:r>
      <w:r w:rsidR="001A2087">
        <w:rPr>
          <w:rFonts w:asciiTheme="majorHAnsi" w:hAnsiTheme="majorHAnsi"/>
        </w:rPr>
        <w:t>assessments</w:t>
      </w:r>
      <w:r w:rsidRPr="00FA1856">
        <w:rPr>
          <w:rFonts w:asciiTheme="majorHAnsi" w:hAnsiTheme="majorHAnsi"/>
        </w:rPr>
        <w:t>.</w:t>
      </w:r>
    </w:p>
    <w:p w14:paraId="77D5FCC1" w14:textId="77777777" w:rsidR="001523AB" w:rsidRDefault="001523AB" w:rsidP="00F2088C">
      <w:pPr>
        <w:pStyle w:val="ListParagraph"/>
        <w:numPr>
          <w:ilvl w:val="0"/>
          <w:numId w:val="10"/>
        </w:numPr>
        <w:rPr>
          <w:rFonts w:asciiTheme="majorHAnsi" w:hAnsiTheme="majorHAnsi"/>
        </w:rPr>
      </w:pPr>
      <w:r>
        <w:rPr>
          <w:rFonts w:asciiTheme="majorHAnsi" w:hAnsiTheme="majorHAnsi"/>
        </w:rPr>
        <w:t xml:space="preserve">Ensuring all </w:t>
      </w:r>
      <w:r w:rsidR="00A949CD">
        <w:rPr>
          <w:rFonts w:asciiTheme="majorHAnsi" w:hAnsiTheme="majorHAnsi"/>
        </w:rPr>
        <w:t>students have</w:t>
      </w:r>
      <w:r>
        <w:rPr>
          <w:rFonts w:asciiTheme="majorHAnsi" w:hAnsiTheme="majorHAnsi"/>
        </w:rPr>
        <w:t xml:space="preserve"> the opportunity to undertake subject specific, employability enrichment activities, including study abroad and field trips</w:t>
      </w:r>
    </w:p>
    <w:p w14:paraId="674E68BA" w14:textId="77777777" w:rsidR="00B30E5B" w:rsidRPr="00B30E5B" w:rsidRDefault="00B30E5B" w:rsidP="00B30E5B">
      <w:pPr>
        <w:pStyle w:val="ListParagraph"/>
        <w:numPr>
          <w:ilvl w:val="0"/>
          <w:numId w:val="10"/>
        </w:numPr>
        <w:rPr>
          <w:rFonts w:asciiTheme="majorHAnsi" w:hAnsiTheme="majorHAnsi"/>
        </w:rPr>
      </w:pPr>
      <w:r w:rsidRPr="00B30E5B">
        <w:rPr>
          <w:rFonts w:asciiTheme="majorHAnsi" w:hAnsiTheme="majorHAnsi"/>
        </w:rPr>
        <w:t>Promoting and helping to embed the Knowledge Exchange Student Skills Framework, recognising that it is relevant for all students irrespective of their career pathways.</w:t>
      </w:r>
    </w:p>
    <w:p w14:paraId="4614A813" w14:textId="77777777" w:rsidR="00F423B1" w:rsidRDefault="00F423B1" w:rsidP="007C286C">
      <w:pPr>
        <w:pStyle w:val="ListParagraph"/>
        <w:numPr>
          <w:ilvl w:val="0"/>
          <w:numId w:val="10"/>
        </w:numPr>
        <w:spacing w:before="240"/>
        <w:rPr>
          <w:rFonts w:asciiTheme="majorHAnsi" w:hAnsiTheme="majorHAnsi"/>
        </w:rPr>
      </w:pPr>
      <w:r w:rsidRPr="00F423B1">
        <w:rPr>
          <w:rFonts w:asciiTheme="majorHAnsi" w:hAnsiTheme="majorHAnsi"/>
        </w:rPr>
        <w:t xml:space="preserve">Creating opportunities for all students </w:t>
      </w:r>
      <w:r w:rsidR="00020174">
        <w:rPr>
          <w:rFonts w:asciiTheme="majorHAnsi" w:hAnsiTheme="majorHAnsi"/>
        </w:rPr>
        <w:t xml:space="preserve">(including PG) </w:t>
      </w:r>
      <w:r w:rsidRPr="00F423B1">
        <w:rPr>
          <w:rFonts w:asciiTheme="majorHAnsi" w:hAnsiTheme="majorHAnsi"/>
        </w:rPr>
        <w:t>to engage with and complete the Hull Employability Award as part of</w:t>
      </w:r>
      <w:r w:rsidRPr="00F423B1">
        <w:rPr>
          <w:rFonts w:asciiTheme="majorHAnsi" w:hAnsiTheme="majorHAnsi"/>
          <w:bCs/>
        </w:rPr>
        <w:t xml:space="preserve">, or alongside, </w:t>
      </w:r>
      <w:r w:rsidRPr="00F423B1">
        <w:rPr>
          <w:rFonts w:asciiTheme="majorHAnsi" w:hAnsiTheme="majorHAnsi"/>
        </w:rPr>
        <w:t>their programme of study</w:t>
      </w:r>
      <w:r w:rsidR="00020174">
        <w:rPr>
          <w:rFonts w:asciiTheme="majorHAnsi" w:hAnsiTheme="majorHAnsi"/>
        </w:rPr>
        <w:t>.</w:t>
      </w:r>
    </w:p>
    <w:p w14:paraId="2180A816" w14:textId="77777777" w:rsidR="00DB7C7A" w:rsidRPr="00FA1856" w:rsidRDefault="00F2088C" w:rsidP="00F2088C">
      <w:pPr>
        <w:pStyle w:val="ListParagraph"/>
        <w:numPr>
          <w:ilvl w:val="0"/>
          <w:numId w:val="10"/>
        </w:numPr>
        <w:rPr>
          <w:rFonts w:asciiTheme="majorHAnsi" w:hAnsiTheme="majorHAnsi"/>
        </w:rPr>
      </w:pPr>
      <w:r w:rsidRPr="00FA1856">
        <w:rPr>
          <w:rFonts w:asciiTheme="majorHAnsi" w:hAnsiTheme="majorHAnsi"/>
        </w:rPr>
        <w:t xml:space="preserve">Offering a desirable, contemporary portfolio of post graduate (taught and research) courses aligned to employer needs across all programmes of study. And ensure undergraduates have access to the support, information, advice and guidance they require to make informed decisions about academic progression. </w:t>
      </w:r>
    </w:p>
    <w:p w14:paraId="5FBD1CE5" w14:textId="77777777" w:rsidR="00410539" w:rsidRDefault="00410539" w:rsidP="00410539">
      <w:pPr>
        <w:pStyle w:val="ListParagraph"/>
        <w:numPr>
          <w:ilvl w:val="0"/>
          <w:numId w:val="10"/>
        </w:numPr>
        <w:rPr>
          <w:rFonts w:asciiTheme="majorHAnsi" w:hAnsiTheme="majorHAnsi"/>
        </w:rPr>
      </w:pPr>
      <w:r w:rsidRPr="00FA1856">
        <w:rPr>
          <w:rFonts w:asciiTheme="majorHAnsi" w:hAnsiTheme="majorHAnsi"/>
        </w:rPr>
        <w:t xml:space="preserve">Creating a culture across all student cohorts of </w:t>
      </w:r>
      <w:r w:rsidR="006A4E1B">
        <w:rPr>
          <w:rFonts w:asciiTheme="majorHAnsi" w:hAnsiTheme="majorHAnsi"/>
        </w:rPr>
        <w:t xml:space="preserve">self-awareness, </w:t>
      </w:r>
      <w:r w:rsidRPr="00FA1856">
        <w:rPr>
          <w:rFonts w:asciiTheme="majorHAnsi" w:hAnsiTheme="majorHAnsi"/>
        </w:rPr>
        <w:t xml:space="preserve">self- </w:t>
      </w:r>
      <w:r w:rsidR="00F423B1">
        <w:rPr>
          <w:rFonts w:asciiTheme="majorHAnsi" w:hAnsiTheme="majorHAnsi"/>
        </w:rPr>
        <w:t>development</w:t>
      </w:r>
      <w:r w:rsidRPr="00FA1856">
        <w:rPr>
          <w:rFonts w:asciiTheme="majorHAnsi" w:hAnsiTheme="majorHAnsi"/>
        </w:rPr>
        <w:t xml:space="preserve"> and motivation by recognising and making explicit the </w:t>
      </w:r>
      <w:r w:rsidR="00301EC7">
        <w:rPr>
          <w:rFonts w:asciiTheme="majorHAnsi" w:hAnsiTheme="majorHAnsi"/>
        </w:rPr>
        <w:t>i</w:t>
      </w:r>
      <w:r w:rsidRPr="00FA1856">
        <w:rPr>
          <w:rFonts w:asciiTheme="majorHAnsi" w:hAnsiTheme="majorHAnsi"/>
        </w:rPr>
        <w:t>mportance of taking personal responsibility for their own development and success.</w:t>
      </w:r>
    </w:p>
    <w:p w14:paraId="750A7347" w14:textId="77777777" w:rsidR="00B30E5B" w:rsidRPr="00B30E5B" w:rsidRDefault="00B30E5B" w:rsidP="00B30E5B">
      <w:pPr>
        <w:pStyle w:val="ListParagraph"/>
        <w:numPr>
          <w:ilvl w:val="0"/>
          <w:numId w:val="10"/>
        </w:numPr>
        <w:spacing w:after="0" w:line="240" w:lineRule="auto"/>
        <w:contextualSpacing w:val="0"/>
        <w:rPr>
          <w:rFonts w:asciiTheme="majorHAnsi" w:eastAsia="Times New Roman" w:hAnsiTheme="majorHAnsi" w:cstheme="majorHAnsi"/>
        </w:rPr>
      </w:pPr>
      <w:r w:rsidRPr="00B30E5B">
        <w:rPr>
          <w:rFonts w:asciiTheme="majorHAnsi" w:eastAsia="Times New Roman" w:hAnsiTheme="majorHAnsi" w:cstheme="majorHAnsi"/>
        </w:rPr>
        <w:t xml:space="preserve">Recognising and </w:t>
      </w:r>
      <w:r>
        <w:rPr>
          <w:rFonts w:asciiTheme="majorHAnsi" w:eastAsia="Times New Roman" w:hAnsiTheme="majorHAnsi" w:cstheme="majorHAnsi"/>
        </w:rPr>
        <w:t xml:space="preserve">continuing to </w:t>
      </w:r>
      <w:r w:rsidRPr="00B30E5B">
        <w:rPr>
          <w:rFonts w:asciiTheme="majorHAnsi" w:eastAsia="Times New Roman" w:hAnsiTheme="majorHAnsi" w:cstheme="majorHAnsi"/>
        </w:rPr>
        <w:t>promot</w:t>
      </w:r>
      <w:r>
        <w:rPr>
          <w:rFonts w:asciiTheme="majorHAnsi" w:eastAsia="Times New Roman" w:hAnsiTheme="majorHAnsi" w:cstheme="majorHAnsi"/>
        </w:rPr>
        <w:t>e</w:t>
      </w:r>
      <w:r w:rsidRPr="00B30E5B">
        <w:rPr>
          <w:rFonts w:asciiTheme="majorHAnsi" w:eastAsia="Times New Roman" w:hAnsiTheme="majorHAnsi" w:cstheme="majorHAnsi"/>
        </w:rPr>
        <w:t xml:space="preserve"> </w:t>
      </w:r>
      <w:r>
        <w:rPr>
          <w:rFonts w:asciiTheme="majorHAnsi" w:eastAsia="Times New Roman" w:hAnsiTheme="majorHAnsi" w:cstheme="majorHAnsi"/>
        </w:rPr>
        <w:t xml:space="preserve">enterprising activities, skills and </w:t>
      </w:r>
      <w:r w:rsidRPr="00B30E5B">
        <w:rPr>
          <w:rFonts w:asciiTheme="majorHAnsi" w:eastAsia="Times New Roman" w:hAnsiTheme="majorHAnsi" w:cstheme="majorHAnsi"/>
        </w:rPr>
        <w:t>starting up a business as a career option of equal value to employment</w:t>
      </w:r>
      <w:r w:rsidR="006A4E1B">
        <w:rPr>
          <w:rFonts w:asciiTheme="majorHAnsi" w:eastAsia="Times New Roman" w:hAnsiTheme="majorHAnsi" w:cstheme="majorHAnsi"/>
        </w:rPr>
        <w:t>. W</w:t>
      </w:r>
      <w:r w:rsidRPr="00B30E5B">
        <w:rPr>
          <w:rFonts w:asciiTheme="majorHAnsi" w:eastAsia="Times New Roman" w:hAnsiTheme="majorHAnsi" w:cstheme="majorHAnsi"/>
        </w:rPr>
        <w:t xml:space="preserve">orking with </w:t>
      </w:r>
      <w:r>
        <w:rPr>
          <w:rFonts w:asciiTheme="majorHAnsi" w:eastAsia="Times New Roman" w:hAnsiTheme="majorHAnsi" w:cstheme="majorHAnsi"/>
        </w:rPr>
        <w:t xml:space="preserve">specialist support services, internal and external, to maximise success, support and graduate opportunities. </w:t>
      </w:r>
    </w:p>
    <w:p w14:paraId="2CF54ED3" w14:textId="77777777" w:rsidR="00B30E5B" w:rsidRPr="00B30E5B" w:rsidRDefault="00B30E5B" w:rsidP="00B30E5B">
      <w:pPr>
        <w:pStyle w:val="ListParagraph"/>
        <w:spacing w:after="0" w:line="240" w:lineRule="auto"/>
        <w:contextualSpacing w:val="0"/>
        <w:rPr>
          <w:rFonts w:asciiTheme="majorHAnsi" w:eastAsia="Times New Roman" w:hAnsiTheme="majorHAnsi" w:cstheme="majorHAnsi"/>
        </w:rPr>
      </w:pPr>
    </w:p>
    <w:p w14:paraId="59DDBB02" w14:textId="77777777" w:rsidR="00D5789B" w:rsidRPr="00D5789B" w:rsidRDefault="00F423B1" w:rsidP="00D5789B">
      <w:pPr>
        <w:spacing w:after="0" w:line="240" w:lineRule="auto"/>
        <w:rPr>
          <w:rFonts w:asciiTheme="majorHAnsi" w:hAnsiTheme="majorHAnsi"/>
          <w:b/>
          <w:i/>
        </w:rPr>
      </w:pPr>
      <w:r>
        <w:rPr>
          <w:rFonts w:asciiTheme="majorHAnsi" w:hAnsiTheme="majorHAnsi"/>
          <w:b/>
          <w:i/>
        </w:rPr>
        <w:t>Enhancing wider e</w:t>
      </w:r>
      <w:r w:rsidR="00D5789B">
        <w:rPr>
          <w:rFonts w:asciiTheme="majorHAnsi" w:hAnsiTheme="majorHAnsi"/>
          <w:b/>
          <w:i/>
        </w:rPr>
        <w:t xml:space="preserve">mployability </w:t>
      </w:r>
      <w:r>
        <w:rPr>
          <w:rFonts w:asciiTheme="majorHAnsi" w:hAnsiTheme="majorHAnsi"/>
          <w:b/>
          <w:i/>
        </w:rPr>
        <w:t>s</w:t>
      </w:r>
      <w:r w:rsidR="00D5789B">
        <w:rPr>
          <w:rFonts w:asciiTheme="majorHAnsi" w:hAnsiTheme="majorHAnsi"/>
          <w:b/>
          <w:i/>
        </w:rPr>
        <w:t>upport:</w:t>
      </w:r>
    </w:p>
    <w:p w14:paraId="2A5C2B12" w14:textId="77777777" w:rsidR="00E0651A" w:rsidRPr="002C357F" w:rsidRDefault="00D90999" w:rsidP="00D5789B">
      <w:pPr>
        <w:spacing w:after="0" w:line="240" w:lineRule="auto"/>
        <w:rPr>
          <w:rFonts w:asciiTheme="majorHAnsi" w:hAnsiTheme="majorHAnsi"/>
          <w:i/>
        </w:rPr>
      </w:pPr>
      <w:r w:rsidRPr="002C357F">
        <w:rPr>
          <w:rFonts w:asciiTheme="majorHAnsi" w:hAnsiTheme="majorHAnsi"/>
          <w:i/>
        </w:rPr>
        <w:t xml:space="preserve">To </w:t>
      </w:r>
      <w:r w:rsidR="0056051E" w:rsidRPr="002C357F">
        <w:rPr>
          <w:rFonts w:asciiTheme="majorHAnsi" w:hAnsiTheme="majorHAnsi"/>
          <w:i/>
        </w:rPr>
        <w:t xml:space="preserve">remain focused on </w:t>
      </w:r>
      <w:r w:rsidR="00F423B1" w:rsidRPr="002C357F">
        <w:rPr>
          <w:rFonts w:asciiTheme="majorHAnsi" w:hAnsiTheme="majorHAnsi"/>
          <w:i/>
        </w:rPr>
        <w:t xml:space="preserve">achieving </w:t>
      </w:r>
      <w:r w:rsidR="002B2898" w:rsidRPr="002C357F">
        <w:rPr>
          <w:rFonts w:asciiTheme="majorHAnsi" w:hAnsiTheme="majorHAnsi"/>
          <w:i/>
        </w:rPr>
        <w:t>innova</w:t>
      </w:r>
      <w:r w:rsidR="00F423B1" w:rsidRPr="002C357F">
        <w:rPr>
          <w:rFonts w:asciiTheme="majorHAnsi" w:hAnsiTheme="majorHAnsi"/>
          <w:i/>
        </w:rPr>
        <w:t>tive</w:t>
      </w:r>
      <w:r w:rsidR="0056051E" w:rsidRPr="002C357F">
        <w:rPr>
          <w:rFonts w:asciiTheme="majorHAnsi" w:hAnsiTheme="majorHAnsi"/>
          <w:i/>
        </w:rPr>
        <w:t>, accessible and current student support</w:t>
      </w:r>
      <w:r w:rsidR="00F423B1" w:rsidRPr="002C357F">
        <w:rPr>
          <w:rFonts w:asciiTheme="majorHAnsi" w:hAnsiTheme="majorHAnsi"/>
          <w:i/>
        </w:rPr>
        <w:t xml:space="preserve">, </w:t>
      </w:r>
      <w:r w:rsidR="0056051E" w:rsidRPr="002C357F">
        <w:rPr>
          <w:rFonts w:asciiTheme="majorHAnsi" w:hAnsiTheme="majorHAnsi"/>
          <w:i/>
        </w:rPr>
        <w:t xml:space="preserve">resulting in </w:t>
      </w:r>
      <w:r w:rsidR="002B2898" w:rsidRPr="002C357F">
        <w:rPr>
          <w:rFonts w:asciiTheme="majorHAnsi" w:hAnsiTheme="majorHAnsi"/>
          <w:i/>
        </w:rPr>
        <w:t>sector leading careers and employability s</w:t>
      </w:r>
      <w:r w:rsidR="00820696" w:rsidRPr="002C357F">
        <w:rPr>
          <w:rFonts w:asciiTheme="majorHAnsi" w:hAnsiTheme="majorHAnsi"/>
          <w:i/>
        </w:rPr>
        <w:t>ervice</w:t>
      </w:r>
      <w:r w:rsidR="0056051E" w:rsidRPr="002C357F">
        <w:rPr>
          <w:rFonts w:asciiTheme="majorHAnsi" w:hAnsiTheme="majorHAnsi"/>
          <w:i/>
        </w:rPr>
        <w:t xml:space="preserve"> provision across all </w:t>
      </w:r>
      <w:r w:rsidR="00581909" w:rsidRPr="002C357F">
        <w:rPr>
          <w:rFonts w:asciiTheme="majorHAnsi" w:hAnsiTheme="majorHAnsi"/>
          <w:i/>
        </w:rPr>
        <w:t>programmes of study</w:t>
      </w:r>
      <w:r w:rsidR="0056051E" w:rsidRPr="002C357F">
        <w:rPr>
          <w:rFonts w:asciiTheme="majorHAnsi" w:hAnsiTheme="majorHAnsi"/>
          <w:i/>
        </w:rPr>
        <w:t>.</w:t>
      </w:r>
      <w:r w:rsidR="00820696" w:rsidRPr="002C357F">
        <w:rPr>
          <w:rFonts w:asciiTheme="majorHAnsi" w:hAnsiTheme="majorHAnsi"/>
          <w:i/>
        </w:rPr>
        <w:t xml:space="preserve"> </w:t>
      </w:r>
    </w:p>
    <w:p w14:paraId="2CED283C" w14:textId="77777777" w:rsidR="00D5789B" w:rsidRPr="00FA1856" w:rsidRDefault="00D5789B" w:rsidP="00D5789B">
      <w:pPr>
        <w:spacing w:after="0" w:line="240" w:lineRule="auto"/>
        <w:rPr>
          <w:rFonts w:asciiTheme="majorHAnsi" w:hAnsiTheme="majorHAnsi"/>
          <w:b/>
        </w:rPr>
      </w:pPr>
    </w:p>
    <w:p w14:paraId="212D3F58" w14:textId="77777777" w:rsidR="00E0651A" w:rsidRPr="00FA1856" w:rsidRDefault="004F62C1" w:rsidP="00F10243">
      <w:pPr>
        <w:spacing w:after="0" w:line="240" w:lineRule="auto"/>
        <w:rPr>
          <w:rFonts w:asciiTheme="majorHAnsi" w:hAnsiTheme="majorHAnsi"/>
        </w:rPr>
      </w:pPr>
      <w:r w:rsidRPr="00FA1856">
        <w:rPr>
          <w:rFonts w:asciiTheme="majorHAnsi" w:hAnsiTheme="majorHAnsi"/>
        </w:rPr>
        <w:t>We will</w:t>
      </w:r>
      <w:r w:rsidR="00E0651A" w:rsidRPr="00FA1856">
        <w:rPr>
          <w:rFonts w:asciiTheme="majorHAnsi" w:hAnsiTheme="majorHAnsi"/>
        </w:rPr>
        <w:t xml:space="preserve"> do this by:</w:t>
      </w:r>
    </w:p>
    <w:p w14:paraId="5FE3D9A0" w14:textId="77777777" w:rsidR="00F423B1" w:rsidRPr="00697689" w:rsidRDefault="0056051E" w:rsidP="00697689">
      <w:pPr>
        <w:pStyle w:val="ListParagraph"/>
        <w:numPr>
          <w:ilvl w:val="0"/>
          <w:numId w:val="11"/>
        </w:numPr>
        <w:rPr>
          <w:rFonts w:asciiTheme="majorHAnsi" w:hAnsiTheme="majorHAnsi"/>
        </w:rPr>
      </w:pPr>
      <w:r w:rsidRPr="00FA1856">
        <w:rPr>
          <w:rFonts w:asciiTheme="majorHAnsi" w:hAnsiTheme="majorHAnsi"/>
        </w:rPr>
        <w:t xml:space="preserve">Continuing to review and develop the central Student Futures support </w:t>
      </w:r>
      <w:r w:rsidR="0034758A" w:rsidRPr="00FA1856">
        <w:rPr>
          <w:rFonts w:asciiTheme="majorHAnsi" w:hAnsiTheme="majorHAnsi"/>
        </w:rPr>
        <w:t xml:space="preserve">and resource base </w:t>
      </w:r>
      <w:r w:rsidRPr="00FA1856">
        <w:rPr>
          <w:rFonts w:asciiTheme="majorHAnsi" w:hAnsiTheme="majorHAnsi"/>
        </w:rPr>
        <w:t xml:space="preserve">to ensure </w:t>
      </w:r>
      <w:r w:rsidR="0034758A" w:rsidRPr="00FA1856">
        <w:rPr>
          <w:rFonts w:asciiTheme="majorHAnsi" w:hAnsiTheme="majorHAnsi"/>
        </w:rPr>
        <w:t xml:space="preserve">currency of </w:t>
      </w:r>
      <w:r w:rsidR="00BA1249" w:rsidRPr="00FA1856">
        <w:rPr>
          <w:rFonts w:asciiTheme="majorHAnsi" w:hAnsiTheme="majorHAnsi"/>
        </w:rPr>
        <w:t>quality careers information, advice and guidance (on and post programme)</w:t>
      </w:r>
      <w:r w:rsidR="00B543E2">
        <w:rPr>
          <w:rFonts w:asciiTheme="majorHAnsi" w:hAnsiTheme="majorHAnsi"/>
        </w:rPr>
        <w:t>; including the use of current labour market intelligence to inform guidance</w:t>
      </w:r>
    </w:p>
    <w:p w14:paraId="4320B3FB" w14:textId="77777777" w:rsidR="00B47E97" w:rsidRDefault="0034758A" w:rsidP="00B47E97">
      <w:pPr>
        <w:pStyle w:val="ListParagraph"/>
        <w:numPr>
          <w:ilvl w:val="0"/>
          <w:numId w:val="11"/>
        </w:numPr>
        <w:rPr>
          <w:rFonts w:asciiTheme="majorHAnsi" w:hAnsiTheme="majorHAnsi"/>
        </w:rPr>
      </w:pPr>
      <w:r w:rsidRPr="00FA1856">
        <w:rPr>
          <w:rFonts w:asciiTheme="majorHAnsi" w:hAnsiTheme="majorHAnsi"/>
        </w:rPr>
        <w:t>Ensuring</w:t>
      </w:r>
      <w:r w:rsidR="0056051E" w:rsidRPr="00FA1856">
        <w:rPr>
          <w:rFonts w:asciiTheme="majorHAnsi" w:hAnsiTheme="majorHAnsi"/>
        </w:rPr>
        <w:t xml:space="preserve"> our </w:t>
      </w:r>
      <w:r w:rsidRPr="00FA1856">
        <w:rPr>
          <w:rFonts w:asciiTheme="majorHAnsi" w:hAnsiTheme="majorHAnsi"/>
        </w:rPr>
        <w:t>m</w:t>
      </w:r>
      <w:r w:rsidR="0056051E" w:rsidRPr="00FA1856">
        <w:rPr>
          <w:rFonts w:asciiTheme="majorHAnsi" w:hAnsiTheme="majorHAnsi"/>
        </w:rPr>
        <w:t xml:space="preserve">ost </w:t>
      </w:r>
      <w:r w:rsidRPr="00FA1856">
        <w:rPr>
          <w:rFonts w:asciiTheme="majorHAnsi" w:hAnsiTheme="majorHAnsi"/>
        </w:rPr>
        <w:t>disadvantaged</w:t>
      </w:r>
      <w:r w:rsidR="0056051E" w:rsidRPr="00FA1856">
        <w:rPr>
          <w:rFonts w:asciiTheme="majorHAnsi" w:hAnsiTheme="majorHAnsi"/>
        </w:rPr>
        <w:t xml:space="preserve"> cohorts have equitable access to </w:t>
      </w:r>
      <w:r w:rsidR="00BA1249" w:rsidRPr="00FA1856">
        <w:rPr>
          <w:rFonts w:asciiTheme="majorHAnsi" w:hAnsiTheme="majorHAnsi"/>
        </w:rPr>
        <w:t>employability-based</w:t>
      </w:r>
      <w:r w:rsidR="0056051E" w:rsidRPr="00FA1856">
        <w:rPr>
          <w:rFonts w:asciiTheme="majorHAnsi" w:hAnsiTheme="majorHAnsi"/>
        </w:rPr>
        <w:t xml:space="preserve"> provision </w:t>
      </w:r>
      <w:r w:rsidRPr="00FA1856">
        <w:rPr>
          <w:rFonts w:asciiTheme="majorHAnsi" w:hAnsiTheme="majorHAnsi"/>
        </w:rPr>
        <w:t>and</w:t>
      </w:r>
      <w:r w:rsidR="0056051E" w:rsidRPr="00FA1856">
        <w:rPr>
          <w:rFonts w:asciiTheme="majorHAnsi" w:hAnsiTheme="majorHAnsi"/>
        </w:rPr>
        <w:t xml:space="preserve"> also </w:t>
      </w:r>
      <w:r w:rsidRPr="00FA1856">
        <w:rPr>
          <w:rFonts w:asciiTheme="majorHAnsi" w:hAnsiTheme="majorHAnsi"/>
        </w:rPr>
        <w:t>benefit</w:t>
      </w:r>
      <w:r w:rsidR="0056051E" w:rsidRPr="00FA1856">
        <w:rPr>
          <w:rFonts w:asciiTheme="majorHAnsi" w:hAnsiTheme="majorHAnsi"/>
        </w:rPr>
        <w:t xml:space="preserve"> from </w:t>
      </w:r>
      <w:r w:rsidRPr="00FA1856">
        <w:rPr>
          <w:rFonts w:asciiTheme="majorHAnsi" w:hAnsiTheme="majorHAnsi"/>
        </w:rPr>
        <w:t>quality</w:t>
      </w:r>
      <w:r w:rsidR="00D5789B">
        <w:rPr>
          <w:rFonts w:asciiTheme="majorHAnsi" w:hAnsiTheme="majorHAnsi"/>
        </w:rPr>
        <w:t>,</w:t>
      </w:r>
      <w:r w:rsidR="00C67862" w:rsidRPr="00FA1856">
        <w:rPr>
          <w:rFonts w:asciiTheme="majorHAnsi" w:hAnsiTheme="majorHAnsi"/>
        </w:rPr>
        <w:t xml:space="preserve"> evidence based and</w:t>
      </w:r>
      <w:r w:rsidRPr="00FA1856">
        <w:rPr>
          <w:rFonts w:asciiTheme="majorHAnsi" w:hAnsiTheme="majorHAnsi"/>
        </w:rPr>
        <w:t xml:space="preserve"> differentiated</w:t>
      </w:r>
      <w:r w:rsidR="0056051E" w:rsidRPr="00FA1856">
        <w:rPr>
          <w:rFonts w:asciiTheme="majorHAnsi" w:hAnsiTheme="majorHAnsi"/>
        </w:rPr>
        <w:t xml:space="preserve"> activities</w:t>
      </w:r>
      <w:r w:rsidR="00301EC7">
        <w:rPr>
          <w:rFonts w:asciiTheme="majorHAnsi" w:hAnsiTheme="majorHAnsi"/>
        </w:rPr>
        <w:t>/</w:t>
      </w:r>
      <w:r w:rsidR="0056051E" w:rsidRPr="00FA1856">
        <w:rPr>
          <w:rFonts w:asciiTheme="majorHAnsi" w:hAnsiTheme="majorHAnsi"/>
        </w:rPr>
        <w:t>project</w:t>
      </w:r>
      <w:r w:rsidRPr="00FA1856">
        <w:rPr>
          <w:rFonts w:asciiTheme="majorHAnsi" w:hAnsiTheme="majorHAnsi"/>
        </w:rPr>
        <w:t>s</w:t>
      </w:r>
      <w:r w:rsidR="0056051E" w:rsidRPr="00FA1856">
        <w:rPr>
          <w:rFonts w:asciiTheme="majorHAnsi" w:hAnsiTheme="majorHAnsi"/>
        </w:rPr>
        <w:t xml:space="preserve"> and support</w:t>
      </w:r>
      <w:r w:rsidR="00C67862" w:rsidRPr="00FA1856">
        <w:rPr>
          <w:rFonts w:asciiTheme="majorHAnsi" w:hAnsiTheme="majorHAnsi"/>
        </w:rPr>
        <w:t xml:space="preserve"> to aid their progression and lower progression gaps</w:t>
      </w:r>
      <w:r w:rsidR="0056051E" w:rsidRPr="00FA1856">
        <w:rPr>
          <w:rFonts w:asciiTheme="majorHAnsi" w:hAnsiTheme="majorHAnsi"/>
        </w:rPr>
        <w:t xml:space="preserve">. </w:t>
      </w:r>
    </w:p>
    <w:p w14:paraId="58A56A64" w14:textId="77777777" w:rsidR="00B47E97" w:rsidRDefault="00B47E97" w:rsidP="00B47E97">
      <w:pPr>
        <w:pStyle w:val="ListParagraph"/>
        <w:numPr>
          <w:ilvl w:val="0"/>
          <w:numId w:val="11"/>
        </w:numPr>
        <w:rPr>
          <w:rFonts w:asciiTheme="majorHAnsi" w:hAnsiTheme="majorHAnsi"/>
        </w:rPr>
      </w:pPr>
      <w:r>
        <w:rPr>
          <w:rFonts w:asciiTheme="majorHAnsi" w:hAnsiTheme="majorHAnsi"/>
        </w:rPr>
        <w:t xml:space="preserve">Committing to the </w:t>
      </w:r>
      <w:r w:rsidRPr="00B47E97">
        <w:rPr>
          <w:rFonts w:asciiTheme="majorHAnsi" w:hAnsiTheme="majorHAnsi"/>
        </w:rPr>
        <w:t xml:space="preserve">formulation of service level agreements between the central Student Futures resource and </w:t>
      </w:r>
      <w:r w:rsidR="00F423B1">
        <w:rPr>
          <w:rFonts w:asciiTheme="majorHAnsi" w:hAnsiTheme="majorHAnsi"/>
        </w:rPr>
        <w:t>programmes of st</w:t>
      </w:r>
      <w:r w:rsidR="00697689">
        <w:rPr>
          <w:rFonts w:asciiTheme="majorHAnsi" w:hAnsiTheme="majorHAnsi"/>
        </w:rPr>
        <w:t>u</w:t>
      </w:r>
      <w:r w:rsidR="00F423B1">
        <w:rPr>
          <w:rFonts w:asciiTheme="majorHAnsi" w:hAnsiTheme="majorHAnsi"/>
        </w:rPr>
        <w:t>dy</w:t>
      </w:r>
      <w:r w:rsidRPr="00B47E97">
        <w:rPr>
          <w:rFonts w:asciiTheme="majorHAnsi" w:hAnsiTheme="majorHAnsi"/>
        </w:rPr>
        <w:t>; outlining service provision, expectations, responsibilities and accountability</w:t>
      </w:r>
    </w:p>
    <w:p w14:paraId="5CEF5FBC" w14:textId="77777777" w:rsidR="007E25C0" w:rsidRDefault="00A513E5" w:rsidP="00182706">
      <w:pPr>
        <w:pStyle w:val="ListParagraph"/>
        <w:numPr>
          <w:ilvl w:val="0"/>
          <w:numId w:val="11"/>
        </w:numPr>
        <w:rPr>
          <w:rFonts w:asciiTheme="majorHAnsi" w:hAnsiTheme="majorHAnsi"/>
        </w:rPr>
      </w:pPr>
      <w:r w:rsidRPr="00A513E5">
        <w:rPr>
          <w:rFonts w:asciiTheme="majorHAnsi" w:hAnsiTheme="majorHAnsi"/>
        </w:rPr>
        <w:t xml:space="preserve">Ensuring all </w:t>
      </w:r>
      <w:r w:rsidR="007E25C0" w:rsidRPr="00A513E5">
        <w:rPr>
          <w:rFonts w:asciiTheme="majorHAnsi" w:hAnsiTheme="majorHAnsi"/>
        </w:rPr>
        <w:t>Personal Supervi</w:t>
      </w:r>
      <w:r w:rsidRPr="00A513E5">
        <w:rPr>
          <w:rFonts w:asciiTheme="majorHAnsi" w:hAnsiTheme="majorHAnsi"/>
        </w:rPr>
        <w:t xml:space="preserve">sors have the necessary ‘tools’ to actively engage in positive success and progression conversations with their caseloads.  </w:t>
      </w:r>
    </w:p>
    <w:p w14:paraId="66388E3B" w14:textId="77777777" w:rsidR="00B30E5B" w:rsidRPr="00B30E5B" w:rsidRDefault="00B30E5B" w:rsidP="00B30E5B">
      <w:pPr>
        <w:pStyle w:val="ListParagraph"/>
        <w:numPr>
          <w:ilvl w:val="0"/>
          <w:numId w:val="11"/>
        </w:numPr>
        <w:rPr>
          <w:rFonts w:asciiTheme="majorHAnsi" w:hAnsiTheme="majorHAnsi"/>
        </w:rPr>
      </w:pPr>
      <w:r w:rsidRPr="00B30E5B">
        <w:rPr>
          <w:rFonts w:asciiTheme="majorHAnsi" w:hAnsiTheme="majorHAnsi"/>
        </w:rPr>
        <w:t>Recognising and continuing to promote enterprising activities, skills and starting up a business as a career option of equal value to employment, and working with specialist support services, internal and external, to maximise success, support and graduate opportunities.</w:t>
      </w:r>
    </w:p>
    <w:p w14:paraId="22B54C98" w14:textId="77777777" w:rsidR="00D5789B" w:rsidRPr="00FA1856" w:rsidRDefault="00697689" w:rsidP="00182706">
      <w:pPr>
        <w:pStyle w:val="ListParagraph"/>
        <w:numPr>
          <w:ilvl w:val="0"/>
          <w:numId w:val="11"/>
        </w:numPr>
        <w:rPr>
          <w:rFonts w:asciiTheme="majorHAnsi" w:hAnsiTheme="majorHAnsi"/>
        </w:rPr>
      </w:pPr>
      <w:r>
        <w:rPr>
          <w:rFonts w:asciiTheme="majorHAnsi" w:hAnsiTheme="majorHAnsi"/>
        </w:rPr>
        <w:t>Establish</w:t>
      </w:r>
      <w:r w:rsidR="00D5789B">
        <w:rPr>
          <w:rFonts w:asciiTheme="majorHAnsi" w:hAnsiTheme="majorHAnsi"/>
        </w:rPr>
        <w:t xml:space="preserve"> a uniformed, consistent and coherent ‘careers registration</w:t>
      </w:r>
      <w:r w:rsidR="00053E8B">
        <w:rPr>
          <w:rFonts w:asciiTheme="majorHAnsi" w:hAnsiTheme="majorHAnsi"/>
        </w:rPr>
        <w:t>’</w:t>
      </w:r>
      <w:r w:rsidR="00D5789B">
        <w:rPr>
          <w:rFonts w:asciiTheme="majorHAnsi" w:hAnsiTheme="majorHAnsi"/>
        </w:rPr>
        <w:t xml:space="preserve"> and ‘careers exit’ data strategy and </w:t>
      </w:r>
      <w:r w:rsidR="00181EFD">
        <w:rPr>
          <w:rFonts w:asciiTheme="majorHAnsi" w:hAnsiTheme="majorHAnsi"/>
        </w:rPr>
        <w:t xml:space="preserve">routine data </w:t>
      </w:r>
      <w:r w:rsidR="00D5789B">
        <w:rPr>
          <w:rFonts w:asciiTheme="majorHAnsi" w:hAnsiTheme="majorHAnsi"/>
        </w:rPr>
        <w:t>capture</w:t>
      </w:r>
      <w:r w:rsidR="00B7385B">
        <w:rPr>
          <w:rFonts w:asciiTheme="majorHAnsi" w:hAnsiTheme="majorHAnsi"/>
        </w:rPr>
        <w:t xml:space="preserve"> at key transition points</w:t>
      </w:r>
      <w:r w:rsidR="00D5789B">
        <w:rPr>
          <w:rFonts w:asciiTheme="majorHAnsi" w:hAnsiTheme="majorHAnsi"/>
        </w:rPr>
        <w:t>.  This data will ensure the adequate management of internal resource and ensure individual and cohort needs are being met.</w:t>
      </w:r>
    </w:p>
    <w:p w14:paraId="204830EC" w14:textId="77777777" w:rsidR="0034758A" w:rsidRDefault="00697689" w:rsidP="00182706">
      <w:pPr>
        <w:pStyle w:val="ListParagraph"/>
        <w:numPr>
          <w:ilvl w:val="0"/>
          <w:numId w:val="11"/>
        </w:numPr>
        <w:rPr>
          <w:rFonts w:asciiTheme="majorHAnsi" w:hAnsiTheme="majorHAnsi"/>
        </w:rPr>
      </w:pPr>
      <w:r>
        <w:rPr>
          <w:rFonts w:asciiTheme="majorHAnsi" w:hAnsiTheme="majorHAnsi"/>
        </w:rPr>
        <w:lastRenderedPageBreak/>
        <w:t>E</w:t>
      </w:r>
      <w:r w:rsidR="001B1CE2" w:rsidRPr="00FA1856">
        <w:rPr>
          <w:rFonts w:asciiTheme="majorHAnsi" w:hAnsiTheme="majorHAnsi"/>
        </w:rPr>
        <w:t>nsuring</w:t>
      </w:r>
      <w:r w:rsidR="0034758A" w:rsidRPr="00FA1856">
        <w:rPr>
          <w:rFonts w:asciiTheme="majorHAnsi" w:hAnsiTheme="majorHAnsi"/>
        </w:rPr>
        <w:t xml:space="preserve"> </w:t>
      </w:r>
      <w:r w:rsidR="00BA1249" w:rsidRPr="00FA1856">
        <w:rPr>
          <w:rFonts w:asciiTheme="majorHAnsi" w:hAnsiTheme="majorHAnsi"/>
        </w:rPr>
        <w:t>employability</w:t>
      </w:r>
      <w:r w:rsidR="0034758A" w:rsidRPr="00FA1856">
        <w:rPr>
          <w:rFonts w:asciiTheme="majorHAnsi" w:hAnsiTheme="majorHAnsi"/>
        </w:rPr>
        <w:t xml:space="preserve"> metrics</w:t>
      </w:r>
      <w:r w:rsidR="00BA1249" w:rsidRPr="00FA1856">
        <w:rPr>
          <w:rFonts w:asciiTheme="majorHAnsi" w:hAnsiTheme="majorHAnsi"/>
        </w:rPr>
        <w:t>, destination</w:t>
      </w:r>
      <w:r w:rsidR="0034758A" w:rsidRPr="00FA1856">
        <w:rPr>
          <w:rFonts w:asciiTheme="majorHAnsi" w:hAnsiTheme="majorHAnsi"/>
        </w:rPr>
        <w:t xml:space="preserve"> data</w:t>
      </w:r>
      <w:r w:rsidR="00BA1249" w:rsidRPr="00FA1856">
        <w:rPr>
          <w:rFonts w:asciiTheme="majorHAnsi" w:hAnsiTheme="majorHAnsi"/>
        </w:rPr>
        <w:t xml:space="preserve"> and engagement data </w:t>
      </w:r>
      <w:r w:rsidR="004F62C1" w:rsidRPr="00FA1856">
        <w:rPr>
          <w:rFonts w:asciiTheme="majorHAnsi" w:hAnsiTheme="majorHAnsi"/>
        </w:rPr>
        <w:t>a</w:t>
      </w:r>
      <w:r w:rsidR="0034758A" w:rsidRPr="00FA1856">
        <w:rPr>
          <w:rFonts w:asciiTheme="majorHAnsi" w:hAnsiTheme="majorHAnsi"/>
        </w:rPr>
        <w:t>re analysed</w:t>
      </w:r>
      <w:r w:rsidR="001B1CE2" w:rsidRPr="00FA1856">
        <w:rPr>
          <w:rFonts w:asciiTheme="majorHAnsi" w:hAnsiTheme="majorHAnsi"/>
        </w:rPr>
        <w:t xml:space="preserve"> and utilised</w:t>
      </w:r>
      <w:r w:rsidR="0034758A" w:rsidRPr="00FA1856">
        <w:rPr>
          <w:rFonts w:asciiTheme="majorHAnsi" w:hAnsiTheme="majorHAnsi"/>
        </w:rPr>
        <w:t xml:space="preserve"> to </w:t>
      </w:r>
      <w:r w:rsidR="001B1CE2" w:rsidRPr="00FA1856">
        <w:rPr>
          <w:rFonts w:asciiTheme="majorHAnsi" w:hAnsiTheme="majorHAnsi"/>
        </w:rPr>
        <w:t>inform,</w:t>
      </w:r>
      <w:r w:rsidR="00591165" w:rsidRPr="00FA1856">
        <w:rPr>
          <w:rFonts w:asciiTheme="majorHAnsi" w:hAnsiTheme="majorHAnsi"/>
        </w:rPr>
        <w:t xml:space="preserve"> </w:t>
      </w:r>
      <w:r w:rsidR="0034758A" w:rsidRPr="00FA1856">
        <w:rPr>
          <w:rFonts w:asciiTheme="majorHAnsi" w:hAnsiTheme="majorHAnsi"/>
        </w:rPr>
        <w:t>develop</w:t>
      </w:r>
      <w:r w:rsidR="004F62C1" w:rsidRPr="00FA1856">
        <w:rPr>
          <w:rFonts w:asciiTheme="majorHAnsi" w:hAnsiTheme="majorHAnsi"/>
        </w:rPr>
        <w:t xml:space="preserve"> and</w:t>
      </w:r>
      <w:r w:rsidR="0034758A" w:rsidRPr="00FA1856">
        <w:rPr>
          <w:rFonts w:asciiTheme="majorHAnsi" w:hAnsiTheme="majorHAnsi"/>
        </w:rPr>
        <w:t xml:space="preserve"> </w:t>
      </w:r>
      <w:r w:rsidR="004F62C1" w:rsidRPr="00FA1856">
        <w:rPr>
          <w:rFonts w:asciiTheme="majorHAnsi" w:hAnsiTheme="majorHAnsi"/>
        </w:rPr>
        <w:t>evolve</w:t>
      </w:r>
      <w:r w:rsidR="001B1CE2" w:rsidRPr="00FA1856">
        <w:rPr>
          <w:rFonts w:asciiTheme="majorHAnsi" w:hAnsiTheme="majorHAnsi"/>
        </w:rPr>
        <w:t xml:space="preserve"> </w:t>
      </w:r>
      <w:r w:rsidR="004F62C1" w:rsidRPr="00FA1856">
        <w:rPr>
          <w:rFonts w:asciiTheme="majorHAnsi" w:hAnsiTheme="majorHAnsi"/>
        </w:rPr>
        <w:t>employability</w:t>
      </w:r>
      <w:r w:rsidR="00BA1249" w:rsidRPr="00FA1856">
        <w:rPr>
          <w:rFonts w:asciiTheme="majorHAnsi" w:hAnsiTheme="majorHAnsi"/>
        </w:rPr>
        <w:t xml:space="preserve"> provision </w:t>
      </w:r>
      <w:r w:rsidR="00581909" w:rsidRPr="00FA1856">
        <w:rPr>
          <w:rFonts w:asciiTheme="majorHAnsi" w:hAnsiTheme="majorHAnsi"/>
        </w:rPr>
        <w:t xml:space="preserve">and activity </w:t>
      </w:r>
      <w:r w:rsidR="00BA1249" w:rsidRPr="00FA1856">
        <w:rPr>
          <w:rFonts w:asciiTheme="majorHAnsi" w:hAnsiTheme="majorHAnsi"/>
        </w:rPr>
        <w:t xml:space="preserve">across </w:t>
      </w:r>
      <w:r w:rsidR="005150A9" w:rsidRPr="00FA1856">
        <w:rPr>
          <w:rFonts w:asciiTheme="majorHAnsi" w:hAnsiTheme="majorHAnsi"/>
        </w:rPr>
        <w:t>the institution</w:t>
      </w:r>
      <w:r w:rsidR="00301EC7">
        <w:rPr>
          <w:rFonts w:asciiTheme="majorHAnsi" w:hAnsiTheme="majorHAnsi"/>
        </w:rPr>
        <w:t xml:space="preserve"> (including aforementioned registration and exit data)</w:t>
      </w:r>
      <w:r w:rsidR="00BA1249" w:rsidRPr="00FA1856">
        <w:rPr>
          <w:rFonts w:asciiTheme="majorHAnsi" w:hAnsiTheme="majorHAnsi"/>
        </w:rPr>
        <w:t xml:space="preserve">. </w:t>
      </w:r>
    </w:p>
    <w:p w14:paraId="0C898F13" w14:textId="77777777" w:rsidR="00697689" w:rsidRPr="00697689" w:rsidRDefault="00697689" w:rsidP="00697689">
      <w:pPr>
        <w:pStyle w:val="ListParagraph"/>
        <w:numPr>
          <w:ilvl w:val="0"/>
          <w:numId w:val="11"/>
        </w:numPr>
        <w:rPr>
          <w:rFonts w:asciiTheme="majorHAnsi" w:hAnsiTheme="majorHAnsi"/>
        </w:rPr>
      </w:pPr>
      <w:r w:rsidRPr="00FA1856">
        <w:rPr>
          <w:rFonts w:asciiTheme="majorHAnsi" w:hAnsiTheme="majorHAnsi"/>
        </w:rPr>
        <w:t xml:space="preserve">Placing an increased emphasis on </w:t>
      </w:r>
      <w:r>
        <w:rPr>
          <w:rFonts w:asciiTheme="majorHAnsi" w:hAnsiTheme="majorHAnsi"/>
        </w:rPr>
        <w:t>continuous improvement</w:t>
      </w:r>
      <w:r w:rsidRPr="00FA1856">
        <w:rPr>
          <w:rFonts w:asciiTheme="majorHAnsi" w:hAnsiTheme="majorHAnsi"/>
        </w:rPr>
        <w:t xml:space="preserve">, by establishing and undertaking regular quality assurance activities and processes </w:t>
      </w:r>
      <w:r>
        <w:rPr>
          <w:rFonts w:asciiTheme="majorHAnsi" w:hAnsiTheme="majorHAnsi"/>
        </w:rPr>
        <w:t xml:space="preserve">with </w:t>
      </w:r>
      <w:r w:rsidRPr="00FA1856">
        <w:rPr>
          <w:rFonts w:asciiTheme="majorHAnsi" w:hAnsiTheme="majorHAnsi"/>
        </w:rPr>
        <w:t>student led evaluation</w:t>
      </w:r>
      <w:r>
        <w:rPr>
          <w:rFonts w:asciiTheme="majorHAnsi" w:hAnsiTheme="majorHAnsi"/>
        </w:rPr>
        <w:t>s of employability activities and projects</w:t>
      </w:r>
      <w:r w:rsidRPr="00FA1856">
        <w:rPr>
          <w:rFonts w:asciiTheme="majorHAnsi" w:hAnsiTheme="majorHAnsi"/>
        </w:rPr>
        <w:t>.</w:t>
      </w:r>
    </w:p>
    <w:p w14:paraId="14428E5E" w14:textId="77777777" w:rsidR="00335425" w:rsidRPr="00335425" w:rsidRDefault="00335425" w:rsidP="00335425">
      <w:pPr>
        <w:pStyle w:val="ListParagraph"/>
        <w:numPr>
          <w:ilvl w:val="0"/>
          <w:numId w:val="11"/>
        </w:numPr>
        <w:rPr>
          <w:rFonts w:asciiTheme="majorHAnsi" w:hAnsiTheme="majorHAnsi"/>
        </w:rPr>
      </w:pPr>
      <w:r w:rsidRPr="00FA1856">
        <w:rPr>
          <w:rFonts w:asciiTheme="majorHAnsi" w:hAnsiTheme="majorHAnsi"/>
        </w:rPr>
        <w:t>Creating a culture within which all faculties</w:t>
      </w:r>
      <w:r w:rsidR="00F423B1">
        <w:rPr>
          <w:rFonts w:asciiTheme="majorHAnsi" w:hAnsiTheme="majorHAnsi"/>
        </w:rPr>
        <w:t xml:space="preserve">, programmes of study and </w:t>
      </w:r>
      <w:r w:rsidRPr="00FA1856">
        <w:rPr>
          <w:rFonts w:asciiTheme="majorHAnsi" w:hAnsiTheme="majorHAnsi"/>
        </w:rPr>
        <w:t>departments continue to develop opportunities to enhance the employability of students and graduates (ambassadorial roles, internal internships etc.)</w:t>
      </w:r>
    </w:p>
    <w:p w14:paraId="585C640B" w14:textId="77777777" w:rsidR="00301EC7" w:rsidRPr="00301EC7" w:rsidRDefault="00301EC7" w:rsidP="00301EC7">
      <w:pPr>
        <w:pStyle w:val="ListParagraph"/>
        <w:numPr>
          <w:ilvl w:val="0"/>
          <w:numId w:val="11"/>
        </w:numPr>
        <w:rPr>
          <w:rFonts w:asciiTheme="majorHAnsi" w:hAnsiTheme="majorHAnsi"/>
        </w:rPr>
      </w:pPr>
      <w:r w:rsidRPr="00FA1856">
        <w:rPr>
          <w:rFonts w:asciiTheme="majorHAnsi" w:hAnsiTheme="majorHAnsi"/>
        </w:rPr>
        <w:t xml:space="preserve">Guaranteeing that all students </w:t>
      </w:r>
      <w:r w:rsidR="00053E8B">
        <w:rPr>
          <w:rFonts w:asciiTheme="majorHAnsi" w:hAnsiTheme="majorHAnsi"/>
        </w:rPr>
        <w:t xml:space="preserve">and graduates </w:t>
      </w:r>
      <w:r w:rsidRPr="00FA1856">
        <w:rPr>
          <w:rFonts w:asciiTheme="majorHAnsi" w:hAnsiTheme="majorHAnsi"/>
        </w:rPr>
        <w:t>have access to self-</w:t>
      </w:r>
      <w:r w:rsidR="006A4E1B">
        <w:rPr>
          <w:rFonts w:asciiTheme="majorHAnsi" w:hAnsiTheme="majorHAnsi"/>
        </w:rPr>
        <w:t xml:space="preserve">help and </w:t>
      </w:r>
      <w:r w:rsidR="00697689">
        <w:rPr>
          <w:rFonts w:asciiTheme="majorHAnsi" w:hAnsiTheme="majorHAnsi"/>
        </w:rPr>
        <w:t>development</w:t>
      </w:r>
      <w:r w:rsidRPr="00FA1856">
        <w:rPr>
          <w:rFonts w:asciiTheme="majorHAnsi" w:hAnsiTheme="majorHAnsi"/>
        </w:rPr>
        <w:t xml:space="preserve"> support and resources which aid their development and are individualised to enable them to meet their specific needs.</w:t>
      </w:r>
    </w:p>
    <w:p w14:paraId="6B76E72A" w14:textId="77777777" w:rsidR="00B30E5B" w:rsidRDefault="00B30E5B" w:rsidP="003B575E">
      <w:pPr>
        <w:pStyle w:val="ListParagraph"/>
        <w:numPr>
          <w:ilvl w:val="0"/>
          <w:numId w:val="11"/>
        </w:numPr>
        <w:rPr>
          <w:rFonts w:asciiTheme="majorHAnsi" w:hAnsiTheme="majorHAnsi"/>
        </w:rPr>
      </w:pPr>
      <w:r>
        <w:rPr>
          <w:rFonts w:asciiTheme="majorHAnsi" w:hAnsiTheme="majorHAnsi"/>
        </w:rPr>
        <w:t xml:space="preserve">Ensuring </w:t>
      </w:r>
      <w:r w:rsidRPr="00B30E5B">
        <w:rPr>
          <w:rFonts w:asciiTheme="majorHAnsi" w:hAnsiTheme="majorHAnsi"/>
        </w:rPr>
        <w:t>there is a consistent approach to the CPD of all staff engaged in employability-based provision</w:t>
      </w:r>
      <w:r w:rsidR="006A4E1B">
        <w:rPr>
          <w:rFonts w:asciiTheme="majorHAnsi" w:hAnsiTheme="majorHAnsi"/>
        </w:rPr>
        <w:t>, activities or support</w:t>
      </w:r>
      <w:r w:rsidRPr="00B30E5B">
        <w:rPr>
          <w:rFonts w:asciiTheme="majorHAnsi" w:hAnsiTheme="majorHAnsi"/>
        </w:rPr>
        <w:t>.</w:t>
      </w:r>
    </w:p>
    <w:p w14:paraId="4B8F290C" w14:textId="77777777" w:rsidR="00FD2A52" w:rsidRPr="006A4E1B" w:rsidRDefault="00FD2A52" w:rsidP="006A4E1B">
      <w:pPr>
        <w:jc w:val="center"/>
        <w:rPr>
          <w:rFonts w:asciiTheme="majorHAnsi" w:hAnsiTheme="majorHAnsi"/>
          <w:b/>
          <w:u w:val="single"/>
        </w:rPr>
      </w:pPr>
      <w:bookmarkStart w:id="3" w:name="_Hlk76393240"/>
      <w:bookmarkEnd w:id="0"/>
      <w:r w:rsidRPr="006A4E1B">
        <w:rPr>
          <w:rFonts w:asciiTheme="majorHAnsi" w:hAnsiTheme="majorHAnsi"/>
          <w:b/>
          <w:u w:val="single"/>
        </w:rPr>
        <w:t>Monitoring and KPIs</w:t>
      </w:r>
    </w:p>
    <w:bookmarkEnd w:id="3"/>
    <w:p w14:paraId="4E2695B0" w14:textId="77777777" w:rsidR="004F0F18" w:rsidRDefault="004F0F18" w:rsidP="004F0F18">
      <w:pPr>
        <w:shd w:val="clear" w:color="auto" w:fill="FFFFFF"/>
        <w:spacing w:after="0" w:line="240" w:lineRule="auto"/>
        <w:rPr>
          <w:rFonts w:ascii="Calibri Light" w:eastAsia="Times New Roman" w:hAnsi="Calibri Light" w:cs="Calibri Light"/>
          <w:color w:val="212121"/>
          <w:lang w:eastAsia="en-GB"/>
        </w:rPr>
      </w:pPr>
      <w:r w:rsidRPr="00387870">
        <w:rPr>
          <w:rFonts w:ascii="Calibri Light" w:eastAsia="Times New Roman" w:hAnsi="Calibri Light" w:cs="Calibri Light"/>
          <w:color w:val="212121"/>
          <w:lang w:eastAsia="en-GB"/>
        </w:rPr>
        <w:t>It is tempting to solely focus on the Graduate Outcome Survey in order to measure impact and set KPIs for this strategy. However, the University recognises that the changes made to the methodology of the outcome survey equates to a significant delay in the publication of this data.  Consequently, it is now increasingly more difficult to infer trends, manage current and future resource and revise plans and strategies, against what is effectively retrospective data.  In addition, due to the metric’s ‘lag’ it is also difficult to measure any impact of actions brought about by this Strategy.</w:t>
      </w:r>
    </w:p>
    <w:p w14:paraId="39496318" w14:textId="77777777" w:rsidR="004F0F18" w:rsidRPr="00387870" w:rsidRDefault="004F0F18" w:rsidP="004F0F18">
      <w:pPr>
        <w:shd w:val="clear" w:color="auto" w:fill="FFFFFF"/>
        <w:spacing w:after="0" w:line="240" w:lineRule="auto"/>
        <w:rPr>
          <w:rFonts w:ascii="Segoe UI" w:eastAsia="Times New Roman" w:hAnsi="Segoe UI" w:cs="Segoe UI"/>
          <w:color w:val="212121"/>
          <w:sz w:val="23"/>
          <w:szCs w:val="23"/>
          <w:lang w:eastAsia="en-GB"/>
        </w:rPr>
      </w:pPr>
    </w:p>
    <w:p w14:paraId="4F6B679C" w14:textId="77777777" w:rsidR="004F0F18" w:rsidRPr="00387870" w:rsidRDefault="004F0F18" w:rsidP="004F0F18">
      <w:pPr>
        <w:shd w:val="clear" w:color="auto" w:fill="FFFFFF"/>
        <w:spacing w:after="0" w:line="240" w:lineRule="auto"/>
        <w:rPr>
          <w:rFonts w:ascii="Segoe UI" w:eastAsia="Times New Roman" w:hAnsi="Segoe UI" w:cs="Segoe UI"/>
          <w:color w:val="212121"/>
          <w:sz w:val="23"/>
          <w:szCs w:val="23"/>
          <w:lang w:eastAsia="en-GB"/>
        </w:rPr>
      </w:pPr>
      <w:r w:rsidRPr="00387870">
        <w:rPr>
          <w:rFonts w:ascii="Calibri Light" w:eastAsia="Times New Roman" w:hAnsi="Calibri Light" w:cs="Calibri Light"/>
          <w:color w:val="212121"/>
          <w:lang w:eastAsia="en-GB"/>
        </w:rPr>
        <w:t xml:space="preserve">With this in mind, the impact of this Strategy will be </w:t>
      </w:r>
      <w:r w:rsidR="006A4E1B">
        <w:rPr>
          <w:rFonts w:ascii="Calibri Light" w:eastAsia="Times New Roman" w:hAnsi="Calibri Light" w:cs="Calibri Light"/>
          <w:color w:val="212121"/>
          <w:lang w:eastAsia="en-GB"/>
        </w:rPr>
        <w:t xml:space="preserve">monitored and </w:t>
      </w:r>
      <w:r w:rsidRPr="00387870">
        <w:rPr>
          <w:rFonts w:ascii="Calibri Light" w:eastAsia="Times New Roman" w:hAnsi="Calibri Light" w:cs="Calibri Light"/>
          <w:color w:val="212121"/>
          <w:lang w:eastAsia="en-GB"/>
        </w:rPr>
        <w:t xml:space="preserve">measured by a variety of indicators, utilising both qualitative and quantitative data gathered from a range of sources such as national surveys and internal surveys and evaluations. Therefore, the following metrics and surveys will be regularly reviewed and analysed to determine the impact and success of the Employability </w:t>
      </w:r>
      <w:r w:rsidR="006A4E1B">
        <w:rPr>
          <w:rFonts w:ascii="Calibri Light" w:eastAsia="Times New Roman" w:hAnsi="Calibri Light" w:cs="Calibri Light"/>
          <w:color w:val="212121"/>
          <w:lang w:eastAsia="en-GB"/>
        </w:rPr>
        <w:t xml:space="preserve">and Success </w:t>
      </w:r>
      <w:r w:rsidRPr="00387870">
        <w:rPr>
          <w:rFonts w:ascii="Calibri Light" w:eastAsia="Times New Roman" w:hAnsi="Calibri Light" w:cs="Calibri Light"/>
          <w:color w:val="212121"/>
          <w:lang w:eastAsia="en-GB"/>
        </w:rPr>
        <w:t>Strategy:</w:t>
      </w:r>
    </w:p>
    <w:p w14:paraId="6672A7FB" w14:textId="77777777" w:rsidR="004F0F18" w:rsidRPr="00387870" w:rsidRDefault="004F0F18" w:rsidP="004F0F18">
      <w:pPr>
        <w:shd w:val="clear" w:color="auto" w:fill="FFFFFF"/>
        <w:spacing w:after="0" w:line="240" w:lineRule="auto"/>
        <w:rPr>
          <w:rFonts w:ascii="Segoe UI" w:eastAsia="Times New Roman" w:hAnsi="Segoe UI" w:cs="Segoe UI"/>
          <w:color w:val="212121"/>
          <w:sz w:val="23"/>
          <w:szCs w:val="23"/>
          <w:lang w:eastAsia="en-GB"/>
        </w:rPr>
      </w:pPr>
      <w:r w:rsidRPr="00387870">
        <w:rPr>
          <w:rFonts w:ascii="Calibri Light" w:eastAsia="Times New Roman" w:hAnsi="Calibri Light" w:cs="Calibri Light"/>
          <w:color w:val="212121"/>
          <w:lang w:eastAsia="en-GB"/>
        </w:rPr>
        <w:t> </w:t>
      </w:r>
      <w:r w:rsidRPr="00387870">
        <w:rPr>
          <w:rFonts w:ascii="Segoe UI" w:eastAsia="Times New Roman" w:hAnsi="Segoe UI" w:cs="Segoe UI"/>
          <w:color w:val="212121"/>
          <w:sz w:val="23"/>
          <w:szCs w:val="23"/>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3683"/>
        <w:gridCol w:w="5323"/>
      </w:tblGrid>
      <w:tr w:rsidR="004F0F18" w:rsidRPr="00387870" w14:paraId="638825D9" w14:textId="77777777" w:rsidTr="00A4288A">
        <w:tc>
          <w:tcPr>
            <w:tcW w:w="3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A33FFE" w14:textId="77777777" w:rsidR="004F0F18" w:rsidRPr="00387870" w:rsidRDefault="004F0F18" w:rsidP="00A4288A">
            <w:pPr>
              <w:spacing w:after="0" w:line="240" w:lineRule="auto"/>
              <w:rPr>
                <w:rFonts w:ascii="Segoe UI" w:eastAsia="Times New Roman" w:hAnsi="Segoe UI" w:cs="Segoe UI"/>
                <w:color w:val="212121"/>
                <w:sz w:val="23"/>
                <w:szCs w:val="23"/>
                <w:lang w:eastAsia="en-GB"/>
              </w:rPr>
            </w:pPr>
            <w:r w:rsidRPr="00387870">
              <w:rPr>
                <w:rFonts w:ascii="Calibri Light" w:eastAsia="Times New Roman" w:hAnsi="Calibri Light" w:cs="Calibri Light"/>
                <w:b/>
                <w:bCs/>
                <w:color w:val="212121"/>
                <w:lang w:eastAsia="en-GB"/>
              </w:rPr>
              <w:t>Metric/Data Set</w:t>
            </w:r>
          </w:p>
        </w:tc>
        <w:tc>
          <w:tcPr>
            <w:tcW w:w="53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CDADE1F" w14:textId="77777777" w:rsidR="004F0F18" w:rsidRPr="00387870" w:rsidRDefault="004F0F18" w:rsidP="00A4288A">
            <w:pPr>
              <w:spacing w:after="0" w:line="240" w:lineRule="auto"/>
              <w:rPr>
                <w:rFonts w:ascii="Segoe UI" w:eastAsia="Times New Roman" w:hAnsi="Segoe UI" w:cs="Segoe UI"/>
                <w:color w:val="212121"/>
                <w:sz w:val="23"/>
                <w:szCs w:val="23"/>
                <w:lang w:eastAsia="en-GB"/>
              </w:rPr>
            </w:pPr>
            <w:r w:rsidRPr="00387870">
              <w:rPr>
                <w:rFonts w:ascii="Calibri Light" w:eastAsia="Times New Roman" w:hAnsi="Calibri Light" w:cs="Calibri Light"/>
                <w:b/>
                <w:bCs/>
                <w:color w:val="212121"/>
                <w:lang w:eastAsia="en-GB"/>
              </w:rPr>
              <w:t>Key Performance Indicators (KPI)</w:t>
            </w:r>
          </w:p>
        </w:tc>
      </w:tr>
      <w:tr w:rsidR="004F0F18" w:rsidRPr="00387870" w14:paraId="34AA1E08" w14:textId="77777777" w:rsidTr="00A4288A">
        <w:tc>
          <w:tcPr>
            <w:tcW w:w="36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20E6D2" w14:textId="77777777" w:rsidR="004F0F18" w:rsidRPr="00387870" w:rsidRDefault="004F0F18" w:rsidP="00A4288A">
            <w:pPr>
              <w:spacing w:after="0" w:line="240" w:lineRule="auto"/>
              <w:rPr>
                <w:rFonts w:ascii="Segoe UI" w:eastAsia="Times New Roman" w:hAnsi="Segoe UI" w:cs="Segoe UI"/>
                <w:color w:val="212121"/>
                <w:sz w:val="23"/>
                <w:szCs w:val="23"/>
                <w:lang w:eastAsia="en-GB"/>
              </w:rPr>
            </w:pPr>
            <w:r w:rsidRPr="00387870">
              <w:rPr>
                <w:rFonts w:ascii="Calibri Light" w:eastAsia="Times New Roman" w:hAnsi="Calibri Light" w:cs="Calibri Light"/>
                <w:color w:val="212121"/>
                <w:lang w:eastAsia="en-GB"/>
              </w:rPr>
              <w:t>Graduate Outcome Survey (GOS)</w:t>
            </w:r>
          </w:p>
        </w:tc>
        <w:tc>
          <w:tcPr>
            <w:tcW w:w="5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440331" w14:textId="77777777" w:rsidR="004F0F18" w:rsidRPr="004F0F18" w:rsidRDefault="004F0F18" w:rsidP="004F0F18">
            <w:pPr>
              <w:numPr>
                <w:ilvl w:val="0"/>
                <w:numId w:val="29"/>
              </w:numPr>
              <w:spacing w:after="0" w:line="240" w:lineRule="auto"/>
              <w:rPr>
                <w:rFonts w:asciiTheme="majorHAnsi" w:eastAsia="Times New Roman" w:hAnsiTheme="majorHAnsi" w:cstheme="majorHAnsi"/>
                <w:color w:val="212121"/>
                <w:lang w:eastAsia="en-GB"/>
              </w:rPr>
            </w:pPr>
            <w:r w:rsidRPr="004F0F18">
              <w:rPr>
                <w:rFonts w:asciiTheme="majorHAnsi" w:eastAsia="Times New Roman" w:hAnsiTheme="majorHAnsi" w:cstheme="majorHAnsi"/>
                <w:color w:val="212121"/>
                <w:lang w:eastAsia="en-GB"/>
              </w:rPr>
              <w:t>To be within the top 30% nationally for students in employment or further study and Graduate Progression.</w:t>
            </w:r>
          </w:p>
          <w:p w14:paraId="123B6737" w14:textId="77777777" w:rsidR="004F0F18" w:rsidRPr="004F0F18" w:rsidRDefault="004F0F18" w:rsidP="004F0F18">
            <w:pPr>
              <w:numPr>
                <w:ilvl w:val="0"/>
                <w:numId w:val="29"/>
              </w:numPr>
              <w:spacing w:after="0" w:line="240" w:lineRule="auto"/>
              <w:rPr>
                <w:rFonts w:asciiTheme="majorHAnsi" w:eastAsia="Times New Roman" w:hAnsiTheme="majorHAnsi" w:cstheme="majorHAnsi"/>
                <w:color w:val="212121"/>
                <w:lang w:eastAsia="en-GB"/>
              </w:rPr>
            </w:pPr>
            <w:r w:rsidRPr="004F0F18">
              <w:rPr>
                <w:rFonts w:asciiTheme="majorHAnsi" w:eastAsia="Times New Roman" w:hAnsiTheme="majorHAnsi" w:cstheme="majorHAnsi"/>
                <w:color w:val="212121"/>
                <w:lang w:eastAsia="en-GB"/>
              </w:rPr>
              <w:t>To remain largely in line with the metric outcomes of regional and aspirational competitors (within a target of 3%)</w:t>
            </w:r>
          </w:p>
          <w:p w14:paraId="0BF35890" w14:textId="77777777" w:rsidR="004F0F18" w:rsidRPr="004F0F18" w:rsidRDefault="004F0F18" w:rsidP="004F0F18">
            <w:pPr>
              <w:numPr>
                <w:ilvl w:val="0"/>
                <w:numId w:val="29"/>
              </w:numPr>
              <w:spacing w:after="0" w:line="240" w:lineRule="auto"/>
              <w:rPr>
                <w:rFonts w:asciiTheme="majorHAnsi" w:eastAsia="Times New Roman" w:hAnsiTheme="majorHAnsi" w:cstheme="majorHAnsi"/>
                <w:color w:val="212121"/>
                <w:lang w:eastAsia="en-GB"/>
              </w:rPr>
            </w:pPr>
            <w:r w:rsidRPr="004F0F18">
              <w:rPr>
                <w:rFonts w:asciiTheme="majorHAnsi" w:eastAsia="Times New Roman" w:hAnsiTheme="majorHAnsi" w:cstheme="majorHAnsi"/>
                <w:color w:val="212121"/>
                <w:lang w:eastAsia="en-GB"/>
              </w:rPr>
              <w:t>To continue to meet the Graduate Progression benchmark (75% benchmark compared with 75.2% Graduate Progression 17/18) and to incrementally increase the difference between the benchmark and Graduate Progression by 0.2%.</w:t>
            </w:r>
          </w:p>
          <w:p w14:paraId="11994CE7" w14:textId="77777777" w:rsidR="004F0F18" w:rsidRPr="004F0F18" w:rsidRDefault="004F0F18" w:rsidP="004F0F18">
            <w:pPr>
              <w:numPr>
                <w:ilvl w:val="0"/>
                <w:numId w:val="29"/>
              </w:numPr>
              <w:spacing w:after="0" w:line="240" w:lineRule="auto"/>
              <w:rPr>
                <w:rFonts w:asciiTheme="majorHAnsi" w:eastAsia="Times New Roman" w:hAnsiTheme="majorHAnsi" w:cstheme="majorHAnsi"/>
                <w:color w:val="212121"/>
                <w:lang w:eastAsia="en-GB"/>
              </w:rPr>
            </w:pPr>
            <w:r w:rsidRPr="004F0F18">
              <w:rPr>
                <w:rFonts w:asciiTheme="majorHAnsi" w:eastAsia="Times New Roman" w:hAnsiTheme="majorHAnsi" w:cstheme="majorHAnsi"/>
                <w:color w:val="212121"/>
                <w:lang w:eastAsia="en-GB"/>
              </w:rPr>
              <w:t>To meet the Graduate Progression benchmark of 75% across all subject areas with an emphasis on eight of the priority subject areas: Engineering, SHES, Criminology, Screen, Business and Management, Biological Sciences and Psychology (currently at least 2% below benchmark)</w:t>
            </w:r>
          </w:p>
          <w:p w14:paraId="4128036C" w14:textId="77777777" w:rsidR="004F0F18" w:rsidRPr="004F0F18" w:rsidRDefault="004F0F18" w:rsidP="004F0F18">
            <w:pPr>
              <w:numPr>
                <w:ilvl w:val="0"/>
                <w:numId w:val="29"/>
              </w:numPr>
              <w:spacing w:after="0" w:line="240" w:lineRule="auto"/>
              <w:rPr>
                <w:rFonts w:asciiTheme="majorHAnsi" w:eastAsia="Times New Roman" w:hAnsiTheme="majorHAnsi" w:cstheme="majorHAnsi"/>
                <w:color w:val="212121"/>
                <w:sz w:val="23"/>
                <w:szCs w:val="23"/>
                <w:lang w:eastAsia="en-GB"/>
              </w:rPr>
            </w:pPr>
            <w:r w:rsidRPr="004F0F18">
              <w:rPr>
                <w:rFonts w:asciiTheme="majorHAnsi" w:eastAsia="Times New Roman" w:hAnsiTheme="majorHAnsi" w:cstheme="majorHAnsi"/>
                <w:color w:val="212121"/>
                <w:lang w:eastAsia="en-GB"/>
              </w:rPr>
              <w:lastRenderedPageBreak/>
              <w:t>Reduction in the progression gaps between identified WP cohorts and peers</w:t>
            </w:r>
          </w:p>
          <w:p w14:paraId="37182758" w14:textId="77777777" w:rsidR="004F0F18" w:rsidRPr="004F0F18" w:rsidRDefault="004F0F18" w:rsidP="004F0F18">
            <w:pPr>
              <w:numPr>
                <w:ilvl w:val="0"/>
                <w:numId w:val="29"/>
              </w:numPr>
              <w:spacing w:after="0" w:line="240" w:lineRule="auto"/>
              <w:rPr>
                <w:rFonts w:asciiTheme="majorHAnsi" w:eastAsia="Times New Roman" w:hAnsiTheme="majorHAnsi" w:cstheme="majorHAnsi"/>
                <w:color w:val="212121"/>
                <w:lang w:eastAsia="en-GB"/>
              </w:rPr>
            </w:pPr>
            <w:r w:rsidRPr="004F0F18">
              <w:rPr>
                <w:rFonts w:asciiTheme="majorHAnsi" w:eastAsia="Times New Roman" w:hAnsiTheme="majorHAnsi" w:cstheme="majorHAnsi"/>
                <w:color w:val="212121"/>
                <w:lang w:eastAsia="en-GB"/>
              </w:rPr>
              <w:t>Continue to support and develop opportunities for regional Graduate Employment to at least 65% of known UK Employment</w:t>
            </w:r>
          </w:p>
        </w:tc>
      </w:tr>
      <w:tr w:rsidR="004F0F18" w:rsidRPr="00387870" w14:paraId="24EBD464" w14:textId="77777777" w:rsidTr="00A4288A">
        <w:tc>
          <w:tcPr>
            <w:tcW w:w="36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4EE22F" w14:textId="77777777" w:rsidR="004F0F18" w:rsidRPr="00387870" w:rsidRDefault="004F0F18" w:rsidP="00A4288A">
            <w:pPr>
              <w:spacing w:after="0" w:line="240" w:lineRule="auto"/>
              <w:rPr>
                <w:rFonts w:ascii="Segoe UI" w:eastAsia="Times New Roman" w:hAnsi="Segoe UI" w:cs="Segoe UI"/>
                <w:color w:val="212121"/>
                <w:sz w:val="23"/>
                <w:szCs w:val="23"/>
                <w:lang w:eastAsia="en-GB"/>
              </w:rPr>
            </w:pPr>
            <w:r w:rsidRPr="00387870">
              <w:rPr>
                <w:rFonts w:ascii="Calibri Light" w:eastAsia="Times New Roman" w:hAnsi="Calibri Light" w:cs="Calibri Light"/>
                <w:color w:val="212121"/>
                <w:lang w:eastAsia="en-GB"/>
              </w:rPr>
              <w:lastRenderedPageBreak/>
              <w:t>Longitudinal Earnings/Employment Outcomes (LEO)</w:t>
            </w:r>
          </w:p>
        </w:tc>
        <w:tc>
          <w:tcPr>
            <w:tcW w:w="5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4817A3" w14:textId="77777777" w:rsidR="004F0F18" w:rsidRDefault="004F0F18" w:rsidP="004F0F18">
            <w:pPr>
              <w:pStyle w:val="ListParagraph"/>
              <w:numPr>
                <w:ilvl w:val="0"/>
                <w:numId w:val="35"/>
              </w:numPr>
              <w:spacing w:after="0" w:line="240" w:lineRule="auto"/>
              <w:rPr>
                <w:rFonts w:ascii="Calibri Light" w:eastAsia="Times New Roman" w:hAnsi="Calibri Light" w:cs="Calibri Light"/>
                <w:color w:val="212121"/>
                <w:lang w:eastAsia="en-GB"/>
              </w:rPr>
            </w:pPr>
            <w:r w:rsidRPr="004F0F18">
              <w:rPr>
                <w:rFonts w:ascii="Calibri Light" w:eastAsia="Times New Roman" w:hAnsi="Calibri Light" w:cs="Calibri Light"/>
                <w:color w:val="212121"/>
                <w:lang w:eastAsia="en-GB"/>
              </w:rPr>
              <w:t xml:space="preserve">Salary outcomes to remain comparable to contextualised median salary weighted for local and regional averages (per programme of study and sector). </w:t>
            </w:r>
          </w:p>
          <w:p w14:paraId="26BFBE14" w14:textId="77777777" w:rsidR="004F0F18" w:rsidRPr="004F0F18" w:rsidRDefault="004F0F18" w:rsidP="004F0F18">
            <w:pPr>
              <w:pStyle w:val="ListParagraph"/>
              <w:numPr>
                <w:ilvl w:val="0"/>
                <w:numId w:val="35"/>
              </w:numPr>
              <w:spacing w:after="0" w:line="240" w:lineRule="auto"/>
              <w:rPr>
                <w:rFonts w:ascii="Calibri Light" w:eastAsia="Times New Roman" w:hAnsi="Calibri Light" w:cs="Calibri Light"/>
                <w:color w:val="212121"/>
                <w:lang w:eastAsia="en-GB"/>
              </w:rPr>
            </w:pPr>
            <w:r w:rsidRPr="004F0F18">
              <w:rPr>
                <w:rFonts w:ascii="Calibri Light" w:eastAsia="Times New Roman" w:hAnsi="Calibri Light" w:cs="Calibri Light"/>
                <w:color w:val="212121"/>
                <w:lang w:eastAsia="en-GB"/>
              </w:rPr>
              <w:t>To increase rank for weighted salary nationally from 65</w:t>
            </w:r>
            <w:r w:rsidRPr="004F0F18">
              <w:rPr>
                <w:rFonts w:ascii="Calibri Light" w:eastAsia="Times New Roman" w:hAnsi="Calibri Light" w:cs="Calibri Light"/>
                <w:color w:val="212121"/>
                <w:vertAlign w:val="superscript"/>
                <w:lang w:eastAsia="en-GB"/>
              </w:rPr>
              <w:t>th</w:t>
            </w:r>
            <w:r w:rsidRPr="004F0F18">
              <w:rPr>
                <w:rFonts w:ascii="Calibri Light" w:eastAsia="Times New Roman" w:hAnsi="Calibri Light" w:cs="Calibri Light"/>
                <w:color w:val="212121"/>
                <w:lang w:eastAsia="en-GB"/>
              </w:rPr>
              <w:t xml:space="preserve"> by improved Graduate level employment. (lag expected as data is 3 years after graduation). </w:t>
            </w:r>
          </w:p>
        </w:tc>
      </w:tr>
      <w:tr w:rsidR="004F0F18" w:rsidRPr="00387870" w14:paraId="5265E935" w14:textId="77777777" w:rsidTr="00A4288A">
        <w:tc>
          <w:tcPr>
            <w:tcW w:w="36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3FD2FA" w14:textId="77777777" w:rsidR="004F0F18" w:rsidRPr="00387870" w:rsidRDefault="004F0F18" w:rsidP="00A4288A">
            <w:pPr>
              <w:spacing w:after="0" w:line="240" w:lineRule="auto"/>
              <w:rPr>
                <w:rFonts w:ascii="Segoe UI" w:eastAsia="Times New Roman" w:hAnsi="Segoe UI" w:cs="Segoe UI"/>
                <w:color w:val="212121"/>
                <w:sz w:val="23"/>
                <w:szCs w:val="23"/>
                <w:lang w:eastAsia="en-GB"/>
              </w:rPr>
            </w:pPr>
            <w:r w:rsidRPr="00387870">
              <w:rPr>
                <w:rFonts w:ascii="Calibri Light" w:eastAsia="Times New Roman" w:hAnsi="Calibri Light" w:cs="Calibri Light"/>
                <w:color w:val="212121"/>
                <w:lang w:eastAsia="en-GB"/>
              </w:rPr>
              <w:t>National Student Survey (NSS)</w:t>
            </w:r>
          </w:p>
        </w:tc>
        <w:tc>
          <w:tcPr>
            <w:tcW w:w="5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8D81B5" w14:textId="77777777" w:rsidR="004F0F18" w:rsidRPr="00387870" w:rsidRDefault="004F0F18" w:rsidP="004F0F18">
            <w:pPr>
              <w:numPr>
                <w:ilvl w:val="0"/>
                <w:numId w:val="30"/>
              </w:numPr>
              <w:spacing w:after="0" w:line="240" w:lineRule="auto"/>
              <w:rPr>
                <w:rFonts w:ascii="Calibri" w:eastAsia="Times New Roman" w:hAnsi="Calibri" w:cs="Calibri"/>
                <w:color w:val="212121"/>
                <w:lang w:eastAsia="en-GB"/>
              </w:rPr>
            </w:pPr>
            <w:r w:rsidRPr="00387870">
              <w:rPr>
                <w:rFonts w:ascii="Calibri Light" w:eastAsia="Times New Roman" w:hAnsi="Calibri Light" w:cs="Calibri Light"/>
                <w:color w:val="212121"/>
                <w:lang w:eastAsia="en-GB"/>
              </w:rPr>
              <w:t>Annual increase in the satisfaction points across:</w:t>
            </w:r>
          </w:p>
          <w:p w14:paraId="24B5E222" w14:textId="77777777" w:rsidR="004F0F18" w:rsidRPr="00387870" w:rsidRDefault="004F0F18" w:rsidP="004F0F18">
            <w:pPr>
              <w:numPr>
                <w:ilvl w:val="1"/>
                <w:numId w:val="30"/>
              </w:numPr>
              <w:spacing w:after="0" w:line="240" w:lineRule="auto"/>
              <w:rPr>
                <w:rFonts w:ascii="Calibri" w:eastAsia="Times New Roman" w:hAnsi="Calibri" w:cs="Calibri"/>
                <w:color w:val="212121"/>
                <w:lang w:eastAsia="en-GB"/>
              </w:rPr>
            </w:pPr>
            <w:r w:rsidRPr="00387870">
              <w:rPr>
                <w:rFonts w:ascii="Calibri Light" w:eastAsia="Times New Roman" w:hAnsi="Calibri Light" w:cs="Calibri Light"/>
                <w:color w:val="212121"/>
                <w:lang w:eastAsia="en-GB"/>
              </w:rPr>
              <w:t>Assessment and Feedback</w:t>
            </w:r>
          </w:p>
          <w:p w14:paraId="70B102F9" w14:textId="77777777" w:rsidR="004F0F18" w:rsidRPr="00387870" w:rsidRDefault="004F0F18" w:rsidP="004F0F18">
            <w:pPr>
              <w:numPr>
                <w:ilvl w:val="1"/>
                <w:numId w:val="30"/>
              </w:numPr>
              <w:spacing w:after="0" w:line="240" w:lineRule="auto"/>
              <w:rPr>
                <w:rFonts w:ascii="Calibri" w:eastAsia="Times New Roman" w:hAnsi="Calibri" w:cs="Calibri"/>
                <w:color w:val="212121"/>
                <w:lang w:eastAsia="en-GB"/>
              </w:rPr>
            </w:pPr>
            <w:r w:rsidRPr="00387870">
              <w:rPr>
                <w:rFonts w:ascii="Calibri Light" w:eastAsia="Times New Roman" w:hAnsi="Calibri Light" w:cs="Calibri Light"/>
                <w:color w:val="212121"/>
                <w:lang w:eastAsia="en-GB"/>
              </w:rPr>
              <w:t>Organisation and Management</w:t>
            </w:r>
          </w:p>
          <w:p w14:paraId="51CBF561" w14:textId="77777777" w:rsidR="004F0F18" w:rsidRPr="00387870" w:rsidRDefault="004F0F18" w:rsidP="004F0F18">
            <w:pPr>
              <w:numPr>
                <w:ilvl w:val="1"/>
                <w:numId w:val="30"/>
              </w:numPr>
              <w:spacing w:after="0" w:line="240" w:lineRule="auto"/>
              <w:rPr>
                <w:rFonts w:ascii="Calibri" w:eastAsia="Times New Roman" w:hAnsi="Calibri" w:cs="Calibri"/>
                <w:color w:val="212121"/>
                <w:lang w:eastAsia="en-GB"/>
              </w:rPr>
            </w:pPr>
            <w:r w:rsidRPr="00387870">
              <w:rPr>
                <w:rFonts w:ascii="Calibri Light" w:eastAsia="Times New Roman" w:hAnsi="Calibri Light" w:cs="Calibri Light"/>
                <w:color w:val="212121"/>
                <w:lang w:eastAsia="en-GB"/>
              </w:rPr>
              <w:t>Overall satisfactions</w:t>
            </w:r>
          </w:p>
          <w:p w14:paraId="18916BDF" w14:textId="77777777" w:rsidR="004F0F18" w:rsidRPr="00387870" w:rsidRDefault="004F0F18" w:rsidP="004F0F18">
            <w:pPr>
              <w:numPr>
                <w:ilvl w:val="1"/>
                <w:numId w:val="30"/>
              </w:numPr>
              <w:spacing w:after="0" w:line="240" w:lineRule="auto"/>
              <w:rPr>
                <w:rFonts w:ascii="Calibri" w:eastAsia="Times New Roman" w:hAnsi="Calibri" w:cs="Calibri"/>
                <w:color w:val="212121"/>
                <w:lang w:eastAsia="en-GB"/>
              </w:rPr>
            </w:pPr>
            <w:r w:rsidRPr="00387870">
              <w:rPr>
                <w:rFonts w:ascii="Calibri Light" w:eastAsia="Times New Roman" w:hAnsi="Calibri Light" w:cs="Calibri Light"/>
                <w:color w:val="212121"/>
                <w:lang w:eastAsia="en-GB"/>
              </w:rPr>
              <w:t>Support</w:t>
            </w:r>
          </w:p>
          <w:p w14:paraId="1DE4177D" w14:textId="77777777" w:rsidR="004F0F18" w:rsidRPr="00387870" w:rsidRDefault="004F0F18" w:rsidP="004F0F18">
            <w:pPr>
              <w:numPr>
                <w:ilvl w:val="1"/>
                <w:numId w:val="30"/>
              </w:numPr>
              <w:spacing w:after="0" w:line="240" w:lineRule="auto"/>
              <w:rPr>
                <w:rFonts w:ascii="Calibri" w:eastAsia="Times New Roman" w:hAnsi="Calibri" w:cs="Calibri"/>
                <w:color w:val="212121"/>
                <w:lang w:eastAsia="en-GB"/>
              </w:rPr>
            </w:pPr>
            <w:r w:rsidRPr="00387870">
              <w:rPr>
                <w:rFonts w:ascii="Calibri Light" w:eastAsia="Times New Roman" w:hAnsi="Calibri Light" w:cs="Calibri Light"/>
                <w:color w:val="212121"/>
                <w:lang w:eastAsia="en-GB"/>
              </w:rPr>
              <w:t>(Open comments - careers and employability related)</w:t>
            </w:r>
          </w:p>
        </w:tc>
      </w:tr>
      <w:tr w:rsidR="004F0F18" w:rsidRPr="00387870" w14:paraId="13CCC826" w14:textId="77777777" w:rsidTr="00A4288A">
        <w:tc>
          <w:tcPr>
            <w:tcW w:w="36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B06515" w14:textId="77777777" w:rsidR="004F0F18" w:rsidRPr="00387870" w:rsidRDefault="004F0F18" w:rsidP="00A4288A">
            <w:pPr>
              <w:spacing w:after="0" w:line="240" w:lineRule="auto"/>
              <w:rPr>
                <w:rFonts w:ascii="Segoe UI" w:eastAsia="Times New Roman" w:hAnsi="Segoe UI" w:cs="Segoe UI"/>
                <w:color w:val="212121"/>
                <w:sz w:val="23"/>
                <w:szCs w:val="23"/>
                <w:lang w:eastAsia="en-GB"/>
              </w:rPr>
            </w:pPr>
            <w:r w:rsidRPr="00387870">
              <w:rPr>
                <w:rFonts w:ascii="Calibri Light" w:eastAsia="Times New Roman" w:hAnsi="Calibri Light" w:cs="Calibri Light"/>
                <w:color w:val="212121"/>
                <w:lang w:eastAsia="en-GB"/>
              </w:rPr>
              <w:t>‘Pre’ and ‘Exit’ Careers Registration</w:t>
            </w:r>
          </w:p>
        </w:tc>
        <w:tc>
          <w:tcPr>
            <w:tcW w:w="5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228D67" w14:textId="77777777" w:rsidR="004F0F18" w:rsidRPr="004F0F18" w:rsidRDefault="004F0F18" w:rsidP="004F0F18">
            <w:pPr>
              <w:numPr>
                <w:ilvl w:val="0"/>
                <w:numId w:val="31"/>
              </w:numPr>
              <w:spacing w:after="0" w:line="240" w:lineRule="auto"/>
              <w:rPr>
                <w:rFonts w:asciiTheme="majorHAnsi" w:eastAsia="Times New Roman" w:hAnsiTheme="majorHAnsi" w:cstheme="majorHAnsi"/>
                <w:color w:val="212121"/>
                <w:lang w:eastAsia="en-GB"/>
              </w:rPr>
            </w:pPr>
            <w:r w:rsidRPr="004F0F18">
              <w:rPr>
                <w:rFonts w:asciiTheme="majorHAnsi" w:eastAsia="Times New Roman" w:hAnsiTheme="majorHAnsi" w:cstheme="majorHAnsi"/>
                <w:color w:val="212121"/>
                <w:lang w:eastAsia="en-GB"/>
              </w:rPr>
              <w:t>Completion Rates (entry and exit):</w:t>
            </w:r>
          </w:p>
          <w:p w14:paraId="649779CA" w14:textId="77777777" w:rsidR="004F0F18" w:rsidRPr="004F0F18" w:rsidRDefault="004F0F18" w:rsidP="004F0F18">
            <w:pPr>
              <w:numPr>
                <w:ilvl w:val="1"/>
                <w:numId w:val="31"/>
              </w:numPr>
              <w:spacing w:after="0" w:line="240" w:lineRule="auto"/>
              <w:rPr>
                <w:rFonts w:asciiTheme="majorHAnsi" w:eastAsia="Times New Roman" w:hAnsiTheme="majorHAnsi" w:cstheme="majorHAnsi"/>
                <w:color w:val="212121"/>
                <w:lang w:eastAsia="en-GB"/>
              </w:rPr>
            </w:pPr>
            <w:r w:rsidRPr="004F0F18">
              <w:rPr>
                <w:rFonts w:asciiTheme="majorHAnsi" w:eastAsia="Times New Roman" w:hAnsiTheme="majorHAnsi" w:cstheme="majorHAnsi"/>
                <w:color w:val="212121"/>
                <w:lang w:eastAsia="en-GB"/>
              </w:rPr>
              <w:t>Year 1 – 65%</w:t>
            </w:r>
          </w:p>
          <w:p w14:paraId="22281E44" w14:textId="77777777" w:rsidR="004F0F18" w:rsidRPr="004F0F18" w:rsidRDefault="004F0F18" w:rsidP="004F0F18">
            <w:pPr>
              <w:numPr>
                <w:ilvl w:val="1"/>
                <w:numId w:val="31"/>
              </w:numPr>
              <w:spacing w:after="0" w:line="240" w:lineRule="auto"/>
              <w:rPr>
                <w:rFonts w:asciiTheme="majorHAnsi" w:eastAsia="Times New Roman" w:hAnsiTheme="majorHAnsi" w:cstheme="majorHAnsi"/>
                <w:color w:val="212121"/>
                <w:lang w:eastAsia="en-GB"/>
              </w:rPr>
            </w:pPr>
            <w:r w:rsidRPr="004F0F18">
              <w:rPr>
                <w:rFonts w:asciiTheme="majorHAnsi" w:eastAsia="Times New Roman" w:hAnsiTheme="majorHAnsi" w:cstheme="majorHAnsi"/>
                <w:color w:val="212121"/>
                <w:lang w:eastAsia="en-GB"/>
              </w:rPr>
              <w:t>Year 2 – 75%</w:t>
            </w:r>
          </w:p>
          <w:p w14:paraId="781DCF0C" w14:textId="77777777" w:rsidR="004F0F18" w:rsidRPr="004F0F18" w:rsidRDefault="004F0F18" w:rsidP="004F0F18">
            <w:pPr>
              <w:numPr>
                <w:ilvl w:val="1"/>
                <w:numId w:val="31"/>
              </w:numPr>
              <w:spacing w:after="0" w:line="240" w:lineRule="auto"/>
              <w:rPr>
                <w:rFonts w:asciiTheme="majorHAnsi" w:eastAsia="Times New Roman" w:hAnsiTheme="majorHAnsi" w:cstheme="majorHAnsi"/>
                <w:color w:val="212121"/>
                <w:lang w:eastAsia="en-GB"/>
              </w:rPr>
            </w:pPr>
            <w:r w:rsidRPr="004F0F18">
              <w:rPr>
                <w:rFonts w:asciiTheme="majorHAnsi" w:eastAsia="Times New Roman" w:hAnsiTheme="majorHAnsi" w:cstheme="majorHAnsi"/>
                <w:color w:val="212121"/>
                <w:lang w:eastAsia="en-GB"/>
              </w:rPr>
              <w:t>Year 3 – 85%</w:t>
            </w:r>
          </w:p>
          <w:p w14:paraId="2A9CEFFA" w14:textId="77777777" w:rsidR="004F0F18" w:rsidRPr="004F0F18" w:rsidRDefault="004F0F18" w:rsidP="004F0F18">
            <w:pPr>
              <w:numPr>
                <w:ilvl w:val="0"/>
                <w:numId w:val="31"/>
              </w:numPr>
              <w:spacing w:after="0" w:line="240" w:lineRule="auto"/>
              <w:rPr>
                <w:rFonts w:asciiTheme="majorHAnsi" w:eastAsia="Times New Roman" w:hAnsiTheme="majorHAnsi" w:cstheme="majorHAnsi"/>
                <w:color w:val="212121"/>
                <w:sz w:val="23"/>
                <w:szCs w:val="23"/>
                <w:lang w:eastAsia="en-GB"/>
              </w:rPr>
            </w:pPr>
            <w:r w:rsidRPr="004F0F18">
              <w:rPr>
                <w:rFonts w:asciiTheme="majorHAnsi" w:eastAsia="Times New Roman" w:hAnsiTheme="majorHAnsi" w:cstheme="majorHAnsi"/>
                <w:color w:val="212121"/>
                <w:lang w:eastAsia="en-GB"/>
              </w:rPr>
              <w:t>Reduction in the gap between students (continuing) completing structured graduate level work experience compared to those without structured graduate level work experience.</w:t>
            </w:r>
          </w:p>
          <w:p w14:paraId="61AF23F5" w14:textId="77777777" w:rsidR="004F0F18" w:rsidRPr="004F0F18" w:rsidRDefault="004F0F18" w:rsidP="004F0F18">
            <w:pPr>
              <w:numPr>
                <w:ilvl w:val="0"/>
                <w:numId w:val="31"/>
              </w:numPr>
              <w:spacing w:after="0" w:line="240" w:lineRule="auto"/>
              <w:rPr>
                <w:rFonts w:asciiTheme="majorHAnsi" w:eastAsia="Times New Roman" w:hAnsiTheme="majorHAnsi" w:cstheme="majorHAnsi"/>
                <w:color w:val="212121"/>
                <w:sz w:val="23"/>
                <w:szCs w:val="23"/>
                <w:lang w:eastAsia="en-GB"/>
              </w:rPr>
            </w:pPr>
            <w:r w:rsidRPr="004F0F18">
              <w:rPr>
                <w:rFonts w:asciiTheme="majorHAnsi" w:eastAsia="Times New Roman" w:hAnsiTheme="majorHAnsi" w:cstheme="majorHAnsi"/>
                <w:color w:val="212121"/>
                <w:lang w:eastAsia="en-GB"/>
              </w:rPr>
              <w:t>Increase by 3% in the percentage of graduates securing graduate level employment prior to graduation ceremonies.</w:t>
            </w:r>
          </w:p>
          <w:p w14:paraId="17035B8D" w14:textId="77777777" w:rsidR="004F0F18" w:rsidRPr="004F0F18" w:rsidRDefault="004F0F18" w:rsidP="004F0F18">
            <w:pPr>
              <w:numPr>
                <w:ilvl w:val="0"/>
                <w:numId w:val="31"/>
              </w:numPr>
              <w:spacing w:after="0" w:line="240" w:lineRule="auto"/>
              <w:rPr>
                <w:rFonts w:asciiTheme="majorHAnsi" w:eastAsia="Times New Roman" w:hAnsiTheme="majorHAnsi" w:cstheme="majorHAnsi"/>
                <w:color w:val="212121"/>
                <w:sz w:val="23"/>
                <w:szCs w:val="23"/>
                <w:lang w:eastAsia="en-GB"/>
              </w:rPr>
            </w:pPr>
            <w:r w:rsidRPr="004F0F18">
              <w:rPr>
                <w:rFonts w:asciiTheme="majorHAnsi" w:eastAsia="Times New Roman" w:hAnsiTheme="majorHAnsi" w:cstheme="majorHAnsi"/>
                <w:color w:val="212121"/>
                <w:lang w:eastAsia="en-GB"/>
              </w:rPr>
              <w:t>Increase in the percentage of students taking part in employability focussed enrichment activities (on and off programme)</w:t>
            </w:r>
          </w:p>
          <w:p w14:paraId="76DBF920" w14:textId="77777777" w:rsidR="004F0F18" w:rsidRPr="004F0F18" w:rsidRDefault="004F0F18" w:rsidP="004F0F18">
            <w:pPr>
              <w:numPr>
                <w:ilvl w:val="0"/>
                <w:numId w:val="31"/>
              </w:numPr>
              <w:spacing w:after="0" w:line="240" w:lineRule="auto"/>
              <w:rPr>
                <w:rFonts w:asciiTheme="majorHAnsi" w:eastAsia="Times New Roman" w:hAnsiTheme="majorHAnsi" w:cstheme="majorHAnsi"/>
                <w:color w:val="212121"/>
                <w:sz w:val="23"/>
                <w:szCs w:val="23"/>
                <w:lang w:eastAsia="en-GB"/>
              </w:rPr>
            </w:pPr>
            <w:r w:rsidRPr="004F0F18">
              <w:rPr>
                <w:rFonts w:asciiTheme="majorHAnsi" w:eastAsia="Times New Roman" w:hAnsiTheme="majorHAnsi" w:cstheme="majorHAnsi"/>
                <w:color w:val="212121"/>
                <w:lang w:eastAsia="en-GB"/>
              </w:rPr>
              <w:t>Increase in ‘confidence’ and skill development markers upon year ‘exit’ across all year groups.</w:t>
            </w:r>
          </w:p>
          <w:p w14:paraId="6FF136B6" w14:textId="77777777" w:rsidR="004F0F18" w:rsidRPr="004F0F18" w:rsidRDefault="004F0F18" w:rsidP="004F0F18">
            <w:pPr>
              <w:numPr>
                <w:ilvl w:val="0"/>
                <w:numId w:val="31"/>
              </w:numPr>
              <w:spacing w:after="0" w:line="240" w:lineRule="auto"/>
              <w:rPr>
                <w:rFonts w:asciiTheme="majorHAnsi" w:eastAsia="Times New Roman" w:hAnsiTheme="majorHAnsi" w:cstheme="majorHAnsi"/>
                <w:color w:val="212121"/>
                <w:lang w:eastAsia="en-GB"/>
              </w:rPr>
            </w:pPr>
            <w:r w:rsidRPr="004F0F18">
              <w:rPr>
                <w:rFonts w:asciiTheme="majorHAnsi" w:eastAsia="Times New Roman" w:hAnsiTheme="majorHAnsi" w:cstheme="majorHAnsi"/>
                <w:color w:val="212121"/>
                <w:lang w:eastAsia="en-GB"/>
              </w:rPr>
              <w:t>No significant difference in the increase in ‘confidence’ and skill development markers upon year ‘exit’ between WP groups and their peers</w:t>
            </w:r>
          </w:p>
        </w:tc>
      </w:tr>
      <w:tr w:rsidR="004F0F18" w:rsidRPr="00387870" w14:paraId="64C7B11A" w14:textId="77777777" w:rsidTr="00A4288A">
        <w:tc>
          <w:tcPr>
            <w:tcW w:w="36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27202A" w14:textId="77777777" w:rsidR="004F0F18" w:rsidRPr="00387870" w:rsidRDefault="004F0F18" w:rsidP="00A4288A">
            <w:pPr>
              <w:spacing w:after="0" w:line="240" w:lineRule="auto"/>
              <w:rPr>
                <w:rFonts w:ascii="Segoe UI" w:eastAsia="Times New Roman" w:hAnsi="Segoe UI" w:cs="Segoe UI"/>
                <w:color w:val="212121"/>
                <w:sz w:val="23"/>
                <w:szCs w:val="23"/>
                <w:lang w:eastAsia="en-GB"/>
              </w:rPr>
            </w:pPr>
            <w:r w:rsidRPr="00077918">
              <w:rPr>
                <w:rFonts w:ascii="Calibri Light" w:eastAsia="Times New Roman" w:hAnsi="Calibri Light" w:cs="Calibri Light"/>
                <w:color w:val="000000" w:themeColor="text1"/>
                <w:lang w:eastAsia="en-GB"/>
              </w:rPr>
              <w:t>Retention Data</w:t>
            </w:r>
          </w:p>
        </w:tc>
        <w:tc>
          <w:tcPr>
            <w:tcW w:w="53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09B43D" w14:textId="77777777" w:rsidR="004F0F18" w:rsidRPr="004F0F18" w:rsidRDefault="004F0F18" w:rsidP="004F0F18">
            <w:pPr>
              <w:numPr>
                <w:ilvl w:val="0"/>
                <w:numId w:val="32"/>
              </w:numPr>
              <w:spacing w:after="0" w:line="240" w:lineRule="auto"/>
              <w:rPr>
                <w:rFonts w:asciiTheme="majorHAnsi" w:eastAsia="Times New Roman" w:hAnsiTheme="majorHAnsi" w:cstheme="majorHAnsi"/>
                <w:color w:val="212121"/>
                <w:lang w:eastAsia="en-GB"/>
              </w:rPr>
            </w:pPr>
            <w:r w:rsidRPr="004F0F18">
              <w:rPr>
                <w:rFonts w:asciiTheme="majorHAnsi" w:eastAsia="Times New Roman" w:hAnsiTheme="majorHAnsi" w:cstheme="majorHAnsi"/>
                <w:color w:val="212121"/>
                <w:lang w:eastAsia="en-GB"/>
              </w:rPr>
              <w:t xml:space="preserve">To meet the </w:t>
            </w:r>
            <w:proofErr w:type="spellStart"/>
            <w:r w:rsidRPr="004F0F18">
              <w:rPr>
                <w:rFonts w:asciiTheme="majorHAnsi" w:eastAsia="Times New Roman" w:hAnsiTheme="majorHAnsi" w:cstheme="majorHAnsi"/>
                <w:color w:val="212121"/>
                <w:lang w:eastAsia="en-GB"/>
              </w:rPr>
              <w:t>OfS</w:t>
            </w:r>
            <w:proofErr w:type="spellEnd"/>
            <w:r w:rsidRPr="004F0F18">
              <w:rPr>
                <w:rFonts w:asciiTheme="majorHAnsi" w:eastAsia="Times New Roman" w:hAnsiTheme="majorHAnsi" w:cstheme="majorHAnsi"/>
                <w:color w:val="212121"/>
                <w:lang w:eastAsia="en-GB"/>
              </w:rPr>
              <w:t xml:space="preserve"> benchmarks for degree completion and the overall PROCEED metric.</w:t>
            </w:r>
          </w:p>
          <w:p w14:paraId="69545EDA" w14:textId="77777777" w:rsidR="004F0F18" w:rsidRPr="004F0F18" w:rsidRDefault="004F0F18" w:rsidP="00A4288A">
            <w:pPr>
              <w:spacing w:after="0" w:line="240" w:lineRule="auto"/>
              <w:ind w:left="720"/>
              <w:rPr>
                <w:rFonts w:asciiTheme="majorHAnsi" w:eastAsia="Times New Roman" w:hAnsiTheme="majorHAnsi" w:cstheme="majorHAnsi"/>
                <w:color w:val="212121"/>
                <w:lang w:eastAsia="en-GB"/>
              </w:rPr>
            </w:pPr>
          </w:p>
        </w:tc>
      </w:tr>
    </w:tbl>
    <w:p w14:paraId="5BE21F77" w14:textId="77777777" w:rsidR="004F0F18" w:rsidRDefault="004F0F18" w:rsidP="004F0F18"/>
    <w:p w14:paraId="0CDDFD16" w14:textId="77777777" w:rsidR="00D5789B" w:rsidRDefault="00D5789B" w:rsidP="00D5789B">
      <w:pPr>
        <w:pStyle w:val="NoSpacing"/>
        <w:rPr>
          <w:rFonts w:asciiTheme="majorHAnsi" w:hAnsiTheme="majorHAnsi" w:cstheme="minorHAnsi"/>
          <w:color w:val="000000" w:themeColor="text1"/>
        </w:rPr>
      </w:pPr>
    </w:p>
    <w:p w14:paraId="3B42FB33" w14:textId="77777777" w:rsidR="00581909" w:rsidRPr="00FA1856" w:rsidRDefault="00581909" w:rsidP="00561E2F">
      <w:pPr>
        <w:rPr>
          <w:rFonts w:asciiTheme="majorHAnsi" w:hAnsiTheme="majorHAnsi"/>
          <w:b/>
        </w:rPr>
      </w:pPr>
    </w:p>
    <w:sectPr w:rsidR="00581909" w:rsidRPr="00FA185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2607" w14:textId="77777777" w:rsidR="00BA1249" w:rsidRDefault="00BA1249" w:rsidP="00FD2A52">
      <w:pPr>
        <w:spacing w:after="0" w:line="240" w:lineRule="auto"/>
      </w:pPr>
      <w:r>
        <w:separator/>
      </w:r>
    </w:p>
  </w:endnote>
  <w:endnote w:type="continuationSeparator" w:id="0">
    <w:p w14:paraId="6BA485DC" w14:textId="77777777" w:rsidR="00BA1249" w:rsidRDefault="00BA1249" w:rsidP="00FD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F27A" w14:textId="77777777" w:rsidR="00A27471" w:rsidRDefault="00A27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959091"/>
      <w:docPartObj>
        <w:docPartGallery w:val="Page Numbers (Bottom of Page)"/>
        <w:docPartUnique/>
      </w:docPartObj>
    </w:sdtPr>
    <w:sdtEndPr>
      <w:rPr>
        <w:noProof/>
      </w:rPr>
    </w:sdtEndPr>
    <w:sdtContent>
      <w:p w14:paraId="75A24D64" w14:textId="77777777" w:rsidR="00BA1249" w:rsidRDefault="00BA12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7FE9B0" w14:textId="77777777" w:rsidR="00BA1249" w:rsidRDefault="00BA1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4885" w14:textId="77777777" w:rsidR="00A27471" w:rsidRDefault="00A27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D8A3" w14:textId="77777777" w:rsidR="00BA1249" w:rsidRDefault="00BA1249" w:rsidP="00FD2A52">
      <w:pPr>
        <w:spacing w:after="0" w:line="240" w:lineRule="auto"/>
      </w:pPr>
      <w:r>
        <w:separator/>
      </w:r>
    </w:p>
  </w:footnote>
  <w:footnote w:type="continuationSeparator" w:id="0">
    <w:p w14:paraId="0A72A2B6" w14:textId="77777777" w:rsidR="00BA1249" w:rsidRDefault="00BA1249" w:rsidP="00FD2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5E7F" w14:textId="77777777" w:rsidR="00A27471" w:rsidRDefault="00144D2B">
    <w:pPr>
      <w:pStyle w:val="Header"/>
    </w:pPr>
    <w:r>
      <w:rPr>
        <w:noProof/>
      </w:rPr>
      <w:pict w14:anchorId="63029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49251"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7933" w14:textId="77777777" w:rsidR="00A27471" w:rsidRDefault="00144D2B">
    <w:pPr>
      <w:pStyle w:val="Header"/>
    </w:pPr>
    <w:r>
      <w:rPr>
        <w:noProof/>
      </w:rPr>
      <w:pict w14:anchorId="74C58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49252"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41E0" w14:textId="77777777" w:rsidR="00A27471" w:rsidRDefault="00144D2B">
    <w:pPr>
      <w:pStyle w:val="Header"/>
    </w:pPr>
    <w:r>
      <w:rPr>
        <w:noProof/>
      </w:rPr>
      <w:pict w14:anchorId="58FE5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49250"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B7C"/>
    <w:multiLevelType w:val="hybridMultilevel"/>
    <w:tmpl w:val="A59268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04111C"/>
    <w:multiLevelType w:val="hybridMultilevel"/>
    <w:tmpl w:val="0132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925BC"/>
    <w:multiLevelType w:val="hybridMultilevel"/>
    <w:tmpl w:val="A59268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360B95"/>
    <w:multiLevelType w:val="hybridMultilevel"/>
    <w:tmpl w:val="0276E7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70106F"/>
    <w:multiLevelType w:val="hybridMultilevel"/>
    <w:tmpl w:val="BC3E3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FB49CF"/>
    <w:multiLevelType w:val="multilevel"/>
    <w:tmpl w:val="B5E0E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976A5"/>
    <w:multiLevelType w:val="multilevel"/>
    <w:tmpl w:val="DF043576"/>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2391267E"/>
    <w:multiLevelType w:val="multilevel"/>
    <w:tmpl w:val="DB4C75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8954D5"/>
    <w:multiLevelType w:val="hybridMultilevel"/>
    <w:tmpl w:val="8056D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E32E57"/>
    <w:multiLevelType w:val="hybridMultilevel"/>
    <w:tmpl w:val="3A2893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F2402A"/>
    <w:multiLevelType w:val="hybridMultilevel"/>
    <w:tmpl w:val="953EE3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CF7BE9"/>
    <w:multiLevelType w:val="hybridMultilevel"/>
    <w:tmpl w:val="34481350"/>
    <w:lvl w:ilvl="0" w:tplc="E0D4BD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150EA7"/>
    <w:multiLevelType w:val="multilevel"/>
    <w:tmpl w:val="C3341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CD5DCF"/>
    <w:multiLevelType w:val="multilevel"/>
    <w:tmpl w:val="18C8F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6B29D8"/>
    <w:multiLevelType w:val="multilevel"/>
    <w:tmpl w:val="DA0C91A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B46370"/>
    <w:multiLevelType w:val="hybridMultilevel"/>
    <w:tmpl w:val="1FBA7466"/>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6" w15:restartNumberingAfterBreak="0">
    <w:nsid w:val="4C843319"/>
    <w:multiLevelType w:val="hybridMultilevel"/>
    <w:tmpl w:val="10E47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E5D83"/>
    <w:multiLevelType w:val="hybridMultilevel"/>
    <w:tmpl w:val="F2DC9B1E"/>
    <w:lvl w:ilvl="0" w:tplc="8DB4C9E6">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52DC1212"/>
    <w:multiLevelType w:val="multilevel"/>
    <w:tmpl w:val="458ECA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D2552B"/>
    <w:multiLevelType w:val="multilevel"/>
    <w:tmpl w:val="E1B472D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B55498"/>
    <w:multiLevelType w:val="hybridMultilevel"/>
    <w:tmpl w:val="9548893C"/>
    <w:lvl w:ilvl="0" w:tplc="08090001">
      <w:start w:val="1"/>
      <w:numFmt w:val="bullet"/>
      <w:lvlText w:val=""/>
      <w:lvlJc w:val="left"/>
      <w:pPr>
        <w:ind w:left="720" w:hanging="360"/>
      </w:pPr>
      <w:rPr>
        <w:rFonts w:ascii="Symbol" w:hAnsi="Symbol" w:hint="default"/>
      </w:rPr>
    </w:lvl>
    <w:lvl w:ilvl="1" w:tplc="8B78E5A6">
      <w:numFmt w:val="bullet"/>
      <w:lvlText w:val="•"/>
      <w:lvlJc w:val="left"/>
      <w:pPr>
        <w:ind w:left="1800" w:hanging="72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0A2BD2"/>
    <w:multiLevelType w:val="multilevel"/>
    <w:tmpl w:val="879CEE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AF405C4"/>
    <w:multiLevelType w:val="multilevel"/>
    <w:tmpl w:val="A5508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504AF8"/>
    <w:multiLevelType w:val="hybridMultilevel"/>
    <w:tmpl w:val="4602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F6B39"/>
    <w:multiLevelType w:val="hybridMultilevel"/>
    <w:tmpl w:val="7F12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B2785"/>
    <w:multiLevelType w:val="hybridMultilevel"/>
    <w:tmpl w:val="550661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F2902D06">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4073EAC"/>
    <w:multiLevelType w:val="hybridMultilevel"/>
    <w:tmpl w:val="FD52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67A14"/>
    <w:multiLevelType w:val="hybridMultilevel"/>
    <w:tmpl w:val="4CEA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63FD5"/>
    <w:multiLevelType w:val="multilevel"/>
    <w:tmpl w:val="D39463F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6B747FEC"/>
    <w:multiLevelType w:val="hybridMultilevel"/>
    <w:tmpl w:val="B5EA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36BFF"/>
    <w:multiLevelType w:val="hybridMultilevel"/>
    <w:tmpl w:val="C532B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0ED0872"/>
    <w:multiLevelType w:val="hybridMultilevel"/>
    <w:tmpl w:val="67721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7078AC"/>
    <w:multiLevelType w:val="hybridMultilevel"/>
    <w:tmpl w:val="C41C06C2"/>
    <w:lvl w:ilvl="0" w:tplc="41ACDD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863D84"/>
    <w:multiLevelType w:val="hybridMultilevel"/>
    <w:tmpl w:val="54B4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3160C"/>
    <w:multiLevelType w:val="hybridMultilevel"/>
    <w:tmpl w:val="205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170E68"/>
    <w:multiLevelType w:val="hybridMultilevel"/>
    <w:tmpl w:val="C86EC2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7"/>
  </w:num>
  <w:num w:numId="3">
    <w:abstractNumId w:val="6"/>
  </w:num>
  <w:num w:numId="4">
    <w:abstractNumId w:val="28"/>
  </w:num>
  <w:num w:numId="5">
    <w:abstractNumId w:val="18"/>
  </w:num>
  <w:num w:numId="6">
    <w:abstractNumId w:val="34"/>
  </w:num>
  <w:num w:numId="7">
    <w:abstractNumId w:val="33"/>
  </w:num>
  <w:num w:numId="8">
    <w:abstractNumId w:val="26"/>
  </w:num>
  <w:num w:numId="9">
    <w:abstractNumId w:val="16"/>
  </w:num>
  <w:num w:numId="10">
    <w:abstractNumId w:val="27"/>
  </w:num>
  <w:num w:numId="11">
    <w:abstractNumId w:val="23"/>
  </w:num>
  <w:num w:numId="12">
    <w:abstractNumId w:val="29"/>
  </w:num>
  <w:num w:numId="13">
    <w:abstractNumId w:val="19"/>
  </w:num>
  <w:num w:numId="14">
    <w:abstractNumId w:val="8"/>
  </w:num>
  <w:num w:numId="15">
    <w:abstractNumId w:val="24"/>
  </w:num>
  <w:num w:numId="16">
    <w:abstractNumId w:val="14"/>
  </w:num>
  <w:num w:numId="17">
    <w:abstractNumId w:val="4"/>
  </w:num>
  <w:num w:numId="18">
    <w:abstractNumId w:val="1"/>
  </w:num>
  <w:num w:numId="19">
    <w:abstractNumId w:val="2"/>
  </w:num>
  <w:num w:numId="20">
    <w:abstractNumId w:val="9"/>
  </w:num>
  <w:num w:numId="21">
    <w:abstractNumId w:val="3"/>
  </w:num>
  <w:num w:numId="22">
    <w:abstractNumId w:val="10"/>
  </w:num>
  <w:num w:numId="23">
    <w:abstractNumId w:val="25"/>
  </w:num>
  <w:num w:numId="24">
    <w:abstractNumId w:val="0"/>
  </w:num>
  <w:num w:numId="25">
    <w:abstractNumId w:val="30"/>
  </w:num>
  <w:num w:numId="26">
    <w:abstractNumId w:val="32"/>
  </w:num>
  <w:num w:numId="27">
    <w:abstractNumId w:val="17"/>
  </w:num>
  <w:num w:numId="28">
    <w:abstractNumId w:val="11"/>
  </w:num>
  <w:num w:numId="29">
    <w:abstractNumId w:val="13"/>
  </w:num>
  <w:num w:numId="30">
    <w:abstractNumId w:val="5"/>
  </w:num>
  <w:num w:numId="31">
    <w:abstractNumId w:val="12"/>
  </w:num>
  <w:num w:numId="32">
    <w:abstractNumId w:val="22"/>
  </w:num>
  <w:num w:numId="33">
    <w:abstractNumId w:val="15"/>
  </w:num>
  <w:num w:numId="34">
    <w:abstractNumId w:val="35"/>
  </w:num>
  <w:num w:numId="35">
    <w:abstractNumId w:val="3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BC"/>
    <w:rsid w:val="00020174"/>
    <w:rsid w:val="000346AB"/>
    <w:rsid w:val="0003697C"/>
    <w:rsid w:val="00045A3E"/>
    <w:rsid w:val="00053E8B"/>
    <w:rsid w:val="000F2B01"/>
    <w:rsid w:val="0012768A"/>
    <w:rsid w:val="00133EDB"/>
    <w:rsid w:val="00144C17"/>
    <w:rsid w:val="00144D2B"/>
    <w:rsid w:val="001523AB"/>
    <w:rsid w:val="00163418"/>
    <w:rsid w:val="00181EFD"/>
    <w:rsid w:val="00182706"/>
    <w:rsid w:val="0019307A"/>
    <w:rsid w:val="001A2087"/>
    <w:rsid w:val="001B1CE2"/>
    <w:rsid w:val="001B398D"/>
    <w:rsid w:val="001B6BB1"/>
    <w:rsid w:val="001D3C3C"/>
    <w:rsid w:val="001F0210"/>
    <w:rsid w:val="001F7111"/>
    <w:rsid w:val="002333F2"/>
    <w:rsid w:val="00275EC7"/>
    <w:rsid w:val="00285C23"/>
    <w:rsid w:val="00290DB0"/>
    <w:rsid w:val="002B2898"/>
    <w:rsid w:val="002C357F"/>
    <w:rsid w:val="002E6974"/>
    <w:rsid w:val="002F6750"/>
    <w:rsid w:val="00301EC7"/>
    <w:rsid w:val="0030658E"/>
    <w:rsid w:val="0032730F"/>
    <w:rsid w:val="00327818"/>
    <w:rsid w:val="00335425"/>
    <w:rsid w:val="003409C4"/>
    <w:rsid w:val="0034758A"/>
    <w:rsid w:val="003928EA"/>
    <w:rsid w:val="003B575E"/>
    <w:rsid w:val="003E070F"/>
    <w:rsid w:val="0040512B"/>
    <w:rsid w:val="00410539"/>
    <w:rsid w:val="00421B70"/>
    <w:rsid w:val="00422078"/>
    <w:rsid w:val="00445905"/>
    <w:rsid w:val="004809D2"/>
    <w:rsid w:val="004B5EFF"/>
    <w:rsid w:val="004D78BC"/>
    <w:rsid w:val="004F0F18"/>
    <w:rsid w:val="004F62C1"/>
    <w:rsid w:val="005150A9"/>
    <w:rsid w:val="00532DE9"/>
    <w:rsid w:val="00560517"/>
    <w:rsid w:val="0056051E"/>
    <w:rsid w:val="00561E2F"/>
    <w:rsid w:val="00581909"/>
    <w:rsid w:val="00591165"/>
    <w:rsid w:val="005932E5"/>
    <w:rsid w:val="005B16B4"/>
    <w:rsid w:val="0060573A"/>
    <w:rsid w:val="00664D6B"/>
    <w:rsid w:val="006723FF"/>
    <w:rsid w:val="00697689"/>
    <w:rsid w:val="006A4E1B"/>
    <w:rsid w:val="006C1E2E"/>
    <w:rsid w:val="006F6D54"/>
    <w:rsid w:val="00736185"/>
    <w:rsid w:val="00781617"/>
    <w:rsid w:val="007B512A"/>
    <w:rsid w:val="007C286C"/>
    <w:rsid w:val="007C6C91"/>
    <w:rsid w:val="007E25C0"/>
    <w:rsid w:val="00820696"/>
    <w:rsid w:val="00846636"/>
    <w:rsid w:val="008A41A7"/>
    <w:rsid w:val="008B3610"/>
    <w:rsid w:val="008C7988"/>
    <w:rsid w:val="008D295C"/>
    <w:rsid w:val="008D2CA3"/>
    <w:rsid w:val="008E78C5"/>
    <w:rsid w:val="009000C6"/>
    <w:rsid w:val="00903AFC"/>
    <w:rsid w:val="00916867"/>
    <w:rsid w:val="009243E2"/>
    <w:rsid w:val="00934927"/>
    <w:rsid w:val="00965B26"/>
    <w:rsid w:val="00996859"/>
    <w:rsid w:val="009A6305"/>
    <w:rsid w:val="009A6AF7"/>
    <w:rsid w:val="009F238F"/>
    <w:rsid w:val="00A1755E"/>
    <w:rsid w:val="00A27471"/>
    <w:rsid w:val="00A34E87"/>
    <w:rsid w:val="00A513E5"/>
    <w:rsid w:val="00A83B17"/>
    <w:rsid w:val="00A949CD"/>
    <w:rsid w:val="00AA0C0C"/>
    <w:rsid w:val="00AD4916"/>
    <w:rsid w:val="00AE1D6C"/>
    <w:rsid w:val="00AF4BF7"/>
    <w:rsid w:val="00B169C4"/>
    <w:rsid w:val="00B30E5B"/>
    <w:rsid w:val="00B3402D"/>
    <w:rsid w:val="00B34E5E"/>
    <w:rsid w:val="00B47E97"/>
    <w:rsid w:val="00B543E2"/>
    <w:rsid w:val="00B701F0"/>
    <w:rsid w:val="00B7385B"/>
    <w:rsid w:val="00B87A24"/>
    <w:rsid w:val="00BA1249"/>
    <w:rsid w:val="00BB0371"/>
    <w:rsid w:val="00BB6EDE"/>
    <w:rsid w:val="00BF5AFA"/>
    <w:rsid w:val="00BF7CA3"/>
    <w:rsid w:val="00BF7D95"/>
    <w:rsid w:val="00C0366F"/>
    <w:rsid w:val="00C4445F"/>
    <w:rsid w:val="00C457FF"/>
    <w:rsid w:val="00C67862"/>
    <w:rsid w:val="00CC45F3"/>
    <w:rsid w:val="00D26156"/>
    <w:rsid w:val="00D30544"/>
    <w:rsid w:val="00D3305F"/>
    <w:rsid w:val="00D50680"/>
    <w:rsid w:val="00D5789B"/>
    <w:rsid w:val="00D75E3F"/>
    <w:rsid w:val="00D76C53"/>
    <w:rsid w:val="00D86AE5"/>
    <w:rsid w:val="00D90999"/>
    <w:rsid w:val="00DB4B25"/>
    <w:rsid w:val="00DB7C7A"/>
    <w:rsid w:val="00E04BA9"/>
    <w:rsid w:val="00E0651A"/>
    <w:rsid w:val="00E07370"/>
    <w:rsid w:val="00E43F66"/>
    <w:rsid w:val="00E46EED"/>
    <w:rsid w:val="00E53BB1"/>
    <w:rsid w:val="00E64BA6"/>
    <w:rsid w:val="00E67789"/>
    <w:rsid w:val="00E72883"/>
    <w:rsid w:val="00EA0D0D"/>
    <w:rsid w:val="00EA6194"/>
    <w:rsid w:val="00EC3D99"/>
    <w:rsid w:val="00F10243"/>
    <w:rsid w:val="00F2088C"/>
    <w:rsid w:val="00F358CE"/>
    <w:rsid w:val="00F423B1"/>
    <w:rsid w:val="00F56B42"/>
    <w:rsid w:val="00F57584"/>
    <w:rsid w:val="00F67705"/>
    <w:rsid w:val="00FA1856"/>
    <w:rsid w:val="00FB2109"/>
    <w:rsid w:val="00FB7207"/>
    <w:rsid w:val="00FD2A52"/>
    <w:rsid w:val="00FF2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BF1D1A"/>
  <w15:chartTrackingRefBased/>
  <w15:docId w15:val="{285F9B0A-61DC-4244-94E9-8507A94F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8BC"/>
    <w:pPr>
      <w:ind w:left="720"/>
      <w:contextualSpacing/>
    </w:pPr>
  </w:style>
  <w:style w:type="character" w:styleId="CommentReference">
    <w:name w:val="annotation reference"/>
    <w:basedOn w:val="DefaultParagraphFont"/>
    <w:uiPriority w:val="99"/>
    <w:semiHidden/>
    <w:unhideWhenUsed/>
    <w:rsid w:val="00FD2A52"/>
    <w:rPr>
      <w:sz w:val="16"/>
      <w:szCs w:val="16"/>
    </w:rPr>
  </w:style>
  <w:style w:type="paragraph" w:styleId="CommentText">
    <w:name w:val="annotation text"/>
    <w:basedOn w:val="Normal"/>
    <w:link w:val="CommentTextChar"/>
    <w:uiPriority w:val="99"/>
    <w:semiHidden/>
    <w:unhideWhenUsed/>
    <w:rsid w:val="00FD2A52"/>
    <w:pPr>
      <w:spacing w:line="240" w:lineRule="auto"/>
    </w:pPr>
    <w:rPr>
      <w:sz w:val="20"/>
      <w:szCs w:val="20"/>
    </w:rPr>
  </w:style>
  <w:style w:type="character" w:customStyle="1" w:styleId="CommentTextChar">
    <w:name w:val="Comment Text Char"/>
    <w:basedOn w:val="DefaultParagraphFont"/>
    <w:link w:val="CommentText"/>
    <w:uiPriority w:val="99"/>
    <w:semiHidden/>
    <w:rsid w:val="00FD2A52"/>
    <w:rPr>
      <w:sz w:val="20"/>
      <w:szCs w:val="20"/>
    </w:rPr>
  </w:style>
  <w:style w:type="paragraph" w:styleId="CommentSubject">
    <w:name w:val="annotation subject"/>
    <w:basedOn w:val="CommentText"/>
    <w:next w:val="CommentText"/>
    <w:link w:val="CommentSubjectChar"/>
    <w:uiPriority w:val="99"/>
    <w:semiHidden/>
    <w:unhideWhenUsed/>
    <w:rsid w:val="00FD2A52"/>
    <w:rPr>
      <w:b/>
      <w:bCs/>
    </w:rPr>
  </w:style>
  <w:style w:type="character" w:customStyle="1" w:styleId="CommentSubjectChar">
    <w:name w:val="Comment Subject Char"/>
    <w:basedOn w:val="CommentTextChar"/>
    <w:link w:val="CommentSubject"/>
    <w:uiPriority w:val="99"/>
    <w:semiHidden/>
    <w:rsid w:val="00FD2A52"/>
    <w:rPr>
      <w:b/>
      <w:bCs/>
      <w:sz w:val="20"/>
      <w:szCs w:val="20"/>
    </w:rPr>
  </w:style>
  <w:style w:type="paragraph" w:styleId="BalloonText">
    <w:name w:val="Balloon Text"/>
    <w:basedOn w:val="Normal"/>
    <w:link w:val="BalloonTextChar"/>
    <w:uiPriority w:val="99"/>
    <w:semiHidden/>
    <w:unhideWhenUsed/>
    <w:rsid w:val="00FD2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A52"/>
    <w:rPr>
      <w:rFonts w:ascii="Segoe UI" w:hAnsi="Segoe UI" w:cs="Segoe UI"/>
      <w:sz w:val="18"/>
      <w:szCs w:val="18"/>
    </w:rPr>
  </w:style>
  <w:style w:type="paragraph" w:styleId="Header">
    <w:name w:val="header"/>
    <w:basedOn w:val="Normal"/>
    <w:link w:val="HeaderChar"/>
    <w:uiPriority w:val="99"/>
    <w:unhideWhenUsed/>
    <w:rsid w:val="00FD2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A52"/>
  </w:style>
  <w:style w:type="paragraph" w:styleId="Footer">
    <w:name w:val="footer"/>
    <w:basedOn w:val="Normal"/>
    <w:link w:val="FooterChar"/>
    <w:uiPriority w:val="99"/>
    <w:unhideWhenUsed/>
    <w:rsid w:val="00FD2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A52"/>
  </w:style>
  <w:style w:type="paragraph" w:styleId="NoSpacing">
    <w:name w:val="No Spacing"/>
    <w:uiPriority w:val="1"/>
    <w:qFormat/>
    <w:rsid w:val="00F10243"/>
    <w:pPr>
      <w:spacing w:after="0" w:line="240" w:lineRule="auto"/>
    </w:pPr>
  </w:style>
  <w:style w:type="table" w:styleId="TableGrid">
    <w:name w:val="Table Grid"/>
    <w:basedOn w:val="TableNormal"/>
    <w:uiPriority w:val="39"/>
    <w:rsid w:val="0030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58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F82BE-37B2-450C-8A6C-42ECCA0A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2550</Words>
  <Characters>14540</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Harrison</dc:creator>
  <cp:keywords/>
  <dc:description/>
  <cp:lastModifiedBy>Stacey Alexander</cp:lastModifiedBy>
  <cp:revision>2</cp:revision>
  <dcterms:created xsi:type="dcterms:W3CDTF">2021-12-20T08:32:00Z</dcterms:created>
  <dcterms:modified xsi:type="dcterms:W3CDTF">2021-12-20T08:32:00Z</dcterms:modified>
</cp:coreProperties>
</file>